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52A" w:rsidRDefault="00C47F26">
      <w:pPr>
        <w:tabs>
          <w:tab w:val="left" w:pos="1985"/>
        </w:tabs>
        <w:spacing w:after="0"/>
        <w:rPr>
          <w:rFonts w:ascii="Arial" w:eastAsia="Arial" w:hAnsi="Arial" w:cs="Arial"/>
          <w:b/>
          <w:sz w:val="24"/>
          <w:szCs w:val="24"/>
        </w:rPr>
      </w:pPr>
      <w:bookmarkStart w:id="0" w:name="_heading=h.gjdgxs" w:colFirst="0" w:colLast="0"/>
      <w:bookmarkEnd w:id="0"/>
      <w:r>
        <w:rPr>
          <w:rFonts w:ascii="Arial" w:eastAsia="Arial" w:hAnsi="Arial" w:cs="Arial"/>
          <w:b/>
          <w:sz w:val="24"/>
          <w:szCs w:val="24"/>
        </w:rPr>
        <w:t>3GPP TSG RAN WG1 #104-e</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Pr>
          <w:rFonts w:ascii="Arial" w:eastAsia="Arial" w:hAnsi="Arial" w:cs="Arial"/>
          <w:b/>
          <w:sz w:val="24"/>
          <w:szCs w:val="24"/>
        </w:rPr>
        <w:tab/>
        <w:t>R1-2100521</w:t>
      </w:r>
    </w:p>
    <w:p w:rsidR="0050752A" w:rsidRDefault="00C47F26">
      <w:pPr>
        <w:tabs>
          <w:tab w:val="left" w:pos="1985"/>
        </w:tabs>
        <w:spacing w:after="0"/>
        <w:rPr>
          <w:rFonts w:ascii="Arial" w:eastAsia="Arial" w:hAnsi="Arial" w:cs="Arial"/>
          <w:b/>
          <w:sz w:val="24"/>
          <w:szCs w:val="24"/>
        </w:rPr>
      </w:pPr>
      <w:r>
        <w:rPr>
          <w:rFonts w:ascii="Arial" w:eastAsia="Arial" w:hAnsi="Arial" w:cs="Arial"/>
          <w:b/>
          <w:sz w:val="24"/>
          <w:szCs w:val="24"/>
        </w:rPr>
        <w:t>e-Meeting, January 25th – February 5th, 2021</w:t>
      </w:r>
    </w:p>
    <w:p w:rsidR="0050752A" w:rsidRDefault="0050752A">
      <w:pPr>
        <w:tabs>
          <w:tab w:val="left" w:pos="1985"/>
        </w:tabs>
        <w:spacing w:after="0"/>
        <w:rPr>
          <w:rFonts w:ascii="Arial" w:eastAsia="Arial" w:hAnsi="Arial" w:cs="Arial"/>
          <w:b/>
          <w:sz w:val="24"/>
          <w:szCs w:val="24"/>
        </w:rPr>
      </w:pPr>
    </w:p>
    <w:p w:rsidR="0050752A" w:rsidRDefault="00C47F26">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8.15.1</w:t>
      </w:r>
    </w:p>
    <w:p w:rsidR="0050752A" w:rsidRDefault="00C47F26">
      <w:pPr>
        <w:tabs>
          <w:tab w:val="left" w:pos="1985"/>
        </w:tabs>
        <w:spacing w:after="0"/>
        <w:rPr>
          <w:rFonts w:ascii="Arial" w:eastAsia="Arial" w:hAnsi="Arial" w:cs="Arial"/>
          <w:sz w:val="24"/>
          <w:szCs w:val="24"/>
          <w:highlight w:val="yellow"/>
        </w:rPr>
      </w:pPr>
      <w:r>
        <w:rPr>
          <w:rFonts w:ascii="Arial" w:eastAsia="Arial" w:hAnsi="Arial" w:cs="Arial"/>
          <w:b/>
          <w:sz w:val="24"/>
          <w:szCs w:val="24"/>
        </w:rPr>
        <w:t xml:space="preserve">Source: </w:t>
      </w:r>
      <w:r>
        <w:rPr>
          <w:rFonts w:ascii="Arial" w:eastAsia="Arial" w:hAnsi="Arial" w:cs="Arial"/>
          <w:b/>
          <w:sz w:val="24"/>
          <w:szCs w:val="24"/>
        </w:rPr>
        <w:tab/>
      </w:r>
      <w:proofErr w:type="spellStart"/>
      <w:r>
        <w:rPr>
          <w:rFonts w:ascii="Arial" w:eastAsia="Arial" w:hAnsi="Arial" w:cs="Arial"/>
          <w:sz w:val="24"/>
          <w:szCs w:val="24"/>
        </w:rPr>
        <w:t>Sateliot</w:t>
      </w:r>
      <w:proofErr w:type="spellEnd"/>
      <w:r>
        <w:rPr>
          <w:rFonts w:ascii="Arial" w:eastAsia="Arial" w:hAnsi="Arial" w:cs="Arial"/>
          <w:sz w:val="24"/>
          <w:szCs w:val="24"/>
        </w:rPr>
        <w:t xml:space="preserve">, Gatehouse, Thales, Kepler </w:t>
      </w:r>
    </w:p>
    <w:p w:rsidR="0050752A" w:rsidRDefault="00C47F26">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t>Discussion on NB-IoT NTN scenarios with small satellites / CubeSats</w:t>
      </w:r>
    </w:p>
    <w:p w:rsidR="0050752A" w:rsidRDefault="00C47F26">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 and Decision</w:t>
      </w:r>
    </w:p>
    <w:p w:rsidR="0050752A" w:rsidRDefault="00C47F26">
      <w:pPr>
        <w:pStyle w:val="Heading1"/>
      </w:pPr>
      <w:r>
        <w:t>1. Introduction</w:t>
      </w:r>
    </w:p>
    <w:p w:rsidR="0050752A" w:rsidRDefault="00C47F26">
      <w:pPr>
        <w:spacing w:before="0" w:after="120"/>
      </w:pPr>
      <w:r>
        <w:t>In RAN1#103 meeting, contribution [1] proposed to include the consideration of an NB-IoT NTN scenario for small satellites such as CubeSats as part of the IoT NTN SI work [2]. The main motivation was to ensure that 3GPP is able to come up with an adaptation/enhancement of the NB-IoT protocol for NTN that is also suitable for deployment in such scenarios, which are likely to be characterized by a restricted link budget due to limitations in the transmit power, antenna gains and number of beams that can be supported in small satellite platforms such as CubeSats.</w:t>
      </w:r>
    </w:p>
    <w:p w:rsidR="0050752A" w:rsidRDefault="00C47F26">
      <w:pPr>
        <w:spacing w:before="0" w:after="120"/>
        <w:rPr>
          <w:i/>
          <w:u w:val="single"/>
        </w:rPr>
      </w:pPr>
      <w:r>
        <w:t xml:space="preserve">Discussion was held during the meeting, leading to the following conclusions/recommendations on the way forward </w:t>
      </w:r>
      <w:proofErr w:type="spellStart"/>
      <w:r>
        <w:t>wrt</w:t>
      </w:r>
      <w:proofErr w:type="spellEnd"/>
      <w:r>
        <w:t xml:space="preserve"> the consideration to be given to </w:t>
      </w:r>
      <w:r>
        <w:rPr>
          <w:i/>
        </w:rPr>
        <w:t>cube satellite</w:t>
      </w:r>
      <w:r>
        <w:t xml:space="preserve"> scenarios [3]:</w:t>
      </w:r>
    </w:p>
    <w:tbl>
      <w:tblPr>
        <w:tblStyle w:val="affd"/>
        <w:tblW w:w="96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05"/>
        <w:gridCol w:w="7995"/>
      </w:tblGrid>
      <w:tr w:rsidR="0050752A">
        <w:tc>
          <w:tcPr>
            <w:tcW w:w="1605" w:type="dxa"/>
            <w:shd w:val="clear" w:color="auto" w:fill="auto"/>
            <w:tcMar>
              <w:top w:w="100" w:type="dxa"/>
              <w:left w:w="100" w:type="dxa"/>
              <w:bottom w:w="100" w:type="dxa"/>
              <w:right w:w="100" w:type="dxa"/>
            </w:tcMar>
          </w:tcPr>
          <w:p w:rsidR="0050752A" w:rsidRDefault="00C47F26">
            <w:pPr>
              <w:widowControl w:val="0"/>
              <w:pBdr>
                <w:top w:val="nil"/>
                <w:left w:val="nil"/>
                <w:bottom w:val="nil"/>
                <w:right w:val="nil"/>
                <w:between w:val="nil"/>
              </w:pBdr>
              <w:jc w:val="left"/>
              <w:rPr>
                <w:b/>
              </w:rPr>
            </w:pPr>
            <w:r>
              <w:rPr>
                <w:b/>
              </w:rPr>
              <w:t>IoT NTN Scenarios</w:t>
            </w:r>
          </w:p>
        </w:tc>
        <w:tc>
          <w:tcPr>
            <w:tcW w:w="7995" w:type="dxa"/>
            <w:shd w:val="clear" w:color="auto" w:fill="auto"/>
            <w:tcMar>
              <w:top w:w="100" w:type="dxa"/>
              <w:left w:w="100" w:type="dxa"/>
              <w:bottom w:w="100" w:type="dxa"/>
              <w:right w:w="100" w:type="dxa"/>
            </w:tcMar>
          </w:tcPr>
          <w:p w:rsidR="0050752A" w:rsidRDefault="00C47F26">
            <w:pPr>
              <w:spacing w:before="240" w:after="240"/>
              <w:rPr>
                <w:i/>
              </w:rPr>
            </w:pPr>
            <w:r>
              <w:rPr>
                <w:i/>
              </w:rPr>
              <w:t>It was observed that Cube satellite is one type of LEO satellite covered by either scenario B or C. There was no consensus on agreeing parameters specific to Cube satellites (i.e. maximum beam diameter). Moderator view is that more discussion needed on Cube satellite scenarios in RAN1#104e.</w:t>
            </w:r>
          </w:p>
          <w:p w:rsidR="0050752A" w:rsidRDefault="00C47F26">
            <w:pPr>
              <w:spacing w:before="240" w:after="240"/>
              <w:ind w:left="360" w:hanging="360"/>
              <w:rPr>
                <w:i/>
              </w:rPr>
            </w:pPr>
            <w:r>
              <w:rPr>
                <w:i/>
                <w:sz w:val="14"/>
                <w:szCs w:val="14"/>
              </w:rPr>
              <w:t xml:space="preserve"> </w:t>
            </w:r>
            <w:r>
              <w:rPr>
                <w:b/>
                <w:i/>
                <w:u w:val="single"/>
              </w:rPr>
              <w:t>FL recommendation on Cube satellites</w:t>
            </w:r>
            <w:r>
              <w:rPr>
                <w:i/>
              </w:rPr>
              <w:t>: Companies are encouraged to further discuss and contribute in RAN1#104e on Cube satellites scenario.</w:t>
            </w:r>
          </w:p>
          <w:p w:rsidR="0050752A" w:rsidRDefault="00C47F26">
            <w:pPr>
              <w:spacing w:before="240" w:after="240"/>
              <w:ind w:left="1080" w:hanging="360"/>
              <w:rPr>
                <w:i/>
              </w:rPr>
            </w:pPr>
            <w:r>
              <w:rPr>
                <w:rFonts w:ascii="Courier New" w:eastAsia="Courier New" w:hAnsi="Courier New" w:cs="Courier New"/>
                <w:i/>
              </w:rPr>
              <w:t>o</w:t>
            </w:r>
            <w:r>
              <w:rPr>
                <w:i/>
                <w:sz w:val="14"/>
                <w:szCs w:val="14"/>
              </w:rPr>
              <w:t xml:space="preserve">    </w:t>
            </w:r>
            <w:r>
              <w:rPr>
                <w:i/>
              </w:rPr>
              <w:t>Cube satellite scenarios is a special case of scenario B or C of IoT NTN, where cube satellite has the size and power limitations typically associated with microsatellites and low-density constellations [2].</w:t>
            </w:r>
          </w:p>
          <w:p w:rsidR="0050752A" w:rsidRDefault="00C47F26">
            <w:pPr>
              <w:spacing w:before="240" w:after="240"/>
              <w:ind w:left="1080" w:hanging="360"/>
              <w:rPr>
                <w:i/>
              </w:rPr>
            </w:pPr>
            <w:r>
              <w:rPr>
                <w:rFonts w:ascii="Courier New" w:eastAsia="Courier New" w:hAnsi="Courier New" w:cs="Courier New"/>
                <w:i/>
              </w:rPr>
              <w:t>o</w:t>
            </w:r>
            <w:r>
              <w:rPr>
                <w:i/>
                <w:sz w:val="14"/>
                <w:szCs w:val="14"/>
              </w:rPr>
              <w:t xml:space="preserve">    </w:t>
            </w:r>
            <w:r>
              <w:rPr>
                <w:i/>
              </w:rPr>
              <w:t>Companies can consider aspects related to</w:t>
            </w:r>
          </w:p>
          <w:p w:rsidR="0050752A" w:rsidRDefault="00C47F26">
            <w:pPr>
              <w:spacing w:before="240" w:after="240"/>
              <w:ind w:left="1800" w:hanging="360"/>
              <w:rPr>
                <w:i/>
              </w:rPr>
            </w:pPr>
            <w:proofErr w:type="gramStart"/>
            <w:r>
              <w:rPr>
                <w:i/>
              </w:rPr>
              <w:t>§</w:t>
            </w:r>
            <w:r>
              <w:rPr>
                <w:i/>
                <w:sz w:val="14"/>
                <w:szCs w:val="14"/>
              </w:rPr>
              <w:t xml:space="preserve">  </w:t>
            </w:r>
            <w:r>
              <w:rPr>
                <w:i/>
              </w:rPr>
              <w:t>Restricted</w:t>
            </w:r>
            <w:proofErr w:type="gramEnd"/>
            <w:r>
              <w:rPr>
                <w:i/>
              </w:rPr>
              <w:t xml:space="preserve"> link budget consistent with extreme coverage assumption, due to relatively much smaller maximum transmission power, smaller antenna gains and number of beams.</w:t>
            </w:r>
          </w:p>
          <w:p w:rsidR="0050752A" w:rsidRDefault="00C47F26">
            <w:pPr>
              <w:spacing w:before="240" w:after="240"/>
              <w:ind w:left="1800" w:hanging="360"/>
              <w:rPr>
                <w:i/>
              </w:rPr>
            </w:pPr>
            <w:r>
              <w:rPr>
                <w:i/>
              </w:rPr>
              <w:t>§</w:t>
            </w:r>
            <w:r>
              <w:rPr>
                <w:i/>
                <w:sz w:val="14"/>
                <w:szCs w:val="14"/>
              </w:rPr>
              <w:t xml:space="preserve">  </w:t>
            </w:r>
            <w:r>
              <w:rPr>
                <w:i/>
              </w:rPr>
              <w:t>Discontinuous service link coverage due to very sparse satellite constellation where UE devices can remain long periods of time without being able to detect a satellite cell.</w:t>
            </w:r>
          </w:p>
        </w:tc>
      </w:tr>
      <w:tr w:rsidR="0050752A">
        <w:tc>
          <w:tcPr>
            <w:tcW w:w="1605" w:type="dxa"/>
            <w:shd w:val="clear" w:color="auto" w:fill="auto"/>
            <w:tcMar>
              <w:top w:w="100" w:type="dxa"/>
              <w:left w:w="100" w:type="dxa"/>
              <w:bottom w:w="100" w:type="dxa"/>
              <w:right w:w="100" w:type="dxa"/>
            </w:tcMar>
          </w:tcPr>
          <w:p w:rsidR="0050752A" w:rsidRDefault="00C47F26">
            <w:pPr>
              <w:widowControl w:val="0"/>
              <w:pBdr>
                <w:top w:val="nil"/>
                <w:left w:val="nil"/>
                <w:bottom w:val="nil"/>
                <w:right w:val="nil"/>
                <w:between w:val="nil"/>
              </w:pBdr>
              <w:jc w:val="left"/>
              <w:rPr>
                <w:b/>
              </w:rPr>
            </w:pPr>
            <w:r>
              <w:rPr>
                <w:b/>
              </w:rPr>
              <w:t xml:space="preserve">IoT NTN parameters </w:t>
            </w:r>
          </w:p>
        </w:tc>
        <w:tc>
          <w:tcPr>
            <w:tcW w:w="7995" w:type="dxa"/>
            <w:shd w:val="clear" w:color="auto" w:fill="auto"/>
            <w:tcMar>
              <w:top w:w="100" w:type="dxa"/>
              <w:left w:w="100" w:type="dxa"/>
              <w:bottom w:w="100" w:type="dxa"/>
              <w:right w:w="100" w:type="dxa"/>
            </w:tcMar>
          </w:tcPr>
          <w:p w:rsidR="0050752A" w:rsidRDefault="00C47F26">
            <w:pPr>
              <w:widowControl w:val="0"/>
              <w:spacing w:before="240" w:after="240"/>
              <w:jc w:val="left"/>
              <w:rPr>
                <w:i/>
              </w:rPr>
            </w:pPr>
            <w:r>
              <w:rPr>
                <w:i/>
              </w:rPr>
              <w:t>It is moderator view that with the revisions suggested by companies during the 2</w:t>
            </w:r>
            <w:r>
              <w:rPr>
                <w:i/>
                <w:vertAlign w:val="superscript"/>
              </w:rPr>
              <w:t>nd</w:t>
            </w:r>
            <w:r>
              <w:rPr>
                <w:i/>
              </w:rPr>
              <w:t xml:space="preserve"> round of discussions, there is consensus and that proposal 2.6.2-1 w.r.t. to IoT NTN parameters is agreeable without Cube satellite parameters included. If agreed, the IoT NTN parameter table will be captured in a TP to TR 36.763 to be submitted to RAN1#104e. The Cube satellite scenario and parameters (e.g. beam diameter of 1700 km) can be further discussed in RAN1#104e meeting and also be included in a TP to TR 36.763 then.</w:t>
            </w:r>
          </w:p>
        </w:tc>
      </w:tr>
      <w:tr w:rsidR="0050752A">
        <w:tc>
          <w:tcPr>
            <w:tcW w:w="1605" w:type="dxa"/>
            <w:shd w:val="clear" w:color="auto" w:fill="auto"/>
            <w:tcMar>
              <w:top w:w="100" w:type="dxa"/>
              <w:left w:w="100" w:type="dxa"/>
              <w:bottom w:w="100" w:type="dxa"/>
              <w:right w:w="100" w:type="dxa"/>
            </w:tcMar>
          </w:tcPr>
          <w:p w:rsidR="0050752A" w:rsidRDefault="00C47F26">
            <w:pPr>
              <w:widowControl w:val="0"/>
              <w:jc w:val="left"/>
              <w:rPr>
                <w:i/>
                <w:u w:val="single"/>
              </w:rPr>
            </w:pPr>
            <w:r>
              <w:rPr>
                <w:b/>
              </w:rPr>
              <w:lastRenderedPageBreak/>
              <w:t>IoT NTN link budget</w:t>
            </w:r>
          </w:p>
        </w:tc>
        <w:tc>
          <w:tcPr>
            <w:tcW w:w="7995" w:type="dxa"/>
            <w:shd w:val="clear" w:color="auto" w:fill="auto"/>
            <w:tcMar>
              <w:top w:w="100" w:type="dxa"/>
              <w:left w:w="100" w:type="dxa"/>
              <w:bottom w:w="100" w:type="dxa"/>
              <w:right w:w="100" w:type="dxa"/>
            </w:tcMar>
          </w:tcPr>
          <w:p w:rsidR="0050752A" w:rsidRDefault="00C47F26">
            <w:pPr>
              <w:widowControl w:val="0"/>
              <w:spacing w:before="240" w:after="240"/>
              <w:jc w:val="left"/>
              <w:rPr>
                <w:i/>
              </w:rPr>
            </w:pPr>
            <w:r>
              <w:rPr>
                <w:i/>
              </w:rPr>
              <w:t>FL view is there is need for alignment on the link budget figures contributed by several companies (more details in ANNEX – LINK BUDGET). For this to happen, it was necessary to first discuss and agree the IoT NTN scenarios and parameters.</w:t>
            </w:r>
          </w:p>
          <w:p w:rsidR="0050752A" w:rsidRDefault="00C47F26">
            <w:pPr>
              <w:widowControl w:val="0"/>
              <w:spacing w:before="240" w:after="240"/>
              <w:ind w:left="1080" w:hanging="360"/>
              <w:jc w:val="left"/>
              <w:rPr>
                <w:i/>
              </w:rPr>
            </w:pPr>
            <w:r>
              <w:rPr>
                <w:i/>
              </w:rPr>
              <w:t>·</w:t>
            </w:r>
            <w:r>
              <w:rPr>
                <w:i/>
                <w:sz w:val="14"/>
                <w:szCs w:val="14"/>
              </w:rPr>
              <w:t xml:space="preserve">         </w:t>
            </w:r>
            <w:r>
              <w:rPr>
                <w:i/>
              </w:rPr>
              <w:t xml:space="preserve">FL recommendation on link budget: The link budget should consider challenging scenarios for worst case assumptions for IoT NTN EIRP and G/T figure. Companies are encouraged to use Set 3 based on Eutelsat [1] and Set 4 based on </w:t>
            </w:r>
            <w:proofErr w:type="spellStart"/>
            <w:r>
              <w:rPr>
                <w:i/>
              </w:rPr>
              <w:t>Sateliot</w:t>
            </w:r>
            <w:proofErr w:type="spellEnd"/>
            <w:r>
              <w:rPr>
                <w:i/>
              </w:rPr>
              <w:t xml:space="preserve">/Gatehouse [2] as shown in the ANNEX. It is of course also fine to use TR 38.821 with Set 1 and Set 2, which are likely to show more </w:t>
            </w:r>
            <w:proofErr w:type="spellStart"/>
            <w:r>
              <w:rPr>
                <w:i/>
              </w:rPr>
              <w:t>favourable</w:t>
            </w:r>
            <w:proofErr w:type="spellEnd"/>
            <w:r>
              <w:rPr>
                <w:i/>
              </w:rPr>
              <w:t xml:space="preserve"> link budget on DL and UL compare to Set 3 and Set 4. Alignment on the link budget figures based on company contributions can be discussed in RAN1#104e. </w:t>
            </w:r>
          </w:p>
          <w:p w:rsidR="0050752A" w:rsidRDefault="0050752A">
            <w:pPr>
              <w:widowControl w:val="0"/>
              <w:pBdr>
                <w:top w:val="nil"/>
                <w:left w:val="nil"/>
                <w:bottom w:val="nil"/>
                <w:right w:val="nil"/>
                <w:between w:val="nil"/>
              </w:pBdr>
              <w:jc w:val="left"/>
              <w:rPr>
                <w:i/>
                <w:u w:val="single"/>
              </w:rPr>
            </w:pPr>
          </w:p>
        </w:tc>
      </w:tr>
    </w:tbl>
    <w:p w:rsidR="0050752A" w:rsidRDefault="0050752A">
      <w:pPr>
        <w:spacing w:before="200" w:after="120"/>
      </w:pPr>
    </w:p>
    <w:p w:rsidR="0050752A" w:rsidRDefault="00C47F26">
      <w:pPr>
        <w:spacing w:before="200" w:after="120"/>
      </w:pPr>
      <w:r>
        <w:t>Based on the above, this contribution provides:</w:t>
      </w:r>
    </w:p>
    <w:p w:rsidR="0050752A" w:rsidRDefault="00C47F26">
      <w:pPr>
        <w:numPr>
          <w:ilvl w:val="0"/>
          <w:numId w:val="1"/>
        </w:numPr>
        <w:spacing w:before="200" w:after="0"/>
      </w:pPr>
      <w:r>
        <w:t xml:space="preserve">A discussion on the relevance and motivations to have a NB-IoT NTN solution from 3GPP that is workable in small satellite platforms such as </w:t>
      </w:r>
      <w:proofErr w:type="spellStart"/>
      <w:r>
        <w:t>Cubesats</w:t>
      </w:r>
      <w:proofErr w:type="spellEnd"/>
      <w:r>
        <w:t xml:space="preserve"> [Section 2]</w:t>
      </w:r>
    </w:p>
    <w:p w:rsidR="0050752A" w:rsidRDefault="00C47F26">
      <w:pPr>
        <w:numPr>
          <w:ilvl w:val="0"/>
          <w:numId w:val="1"/>
        </w:numPr>
        <w:spacing w:before="0" w:after="0"/>
      </w:pPr>
      <w:r>
        <w:t>A description of the characteristics of CubeSats platforms, mostly from the point of view of the key constraints/limitations that these could have on the adaptations of the NB-IoT protocol for NTN [Section 3]</w:t>
      </w:r>
    </w:p>
    <w:p w:rsidR="0050752A" w:rsidRDefault="00C47F26">
      <w:pPr>
        <w:numPr>
          <w:ilvl w:val="0"/>
          <w:numId w:val="1"/>
        </w:numPr>
        <w:spacing w:before="0" w:after="0"/>
      </w:pPr>
      <w:r>
        <w:t>A link budget analysis showing the ranges of achievable SNRs [Section 4]</w:t>
      </w:r>
    </w:p>
    <w:p w:rsidR="0050752A" w:rsidRDefault="00C47F26">
      <w:pPr>
        <w:numPr>
          <w:ilvl w:val="0"/>
          <w:numId w:val="1"/>
        </w:numPr>
        <w:spacing w:before="0" w:after="0"/>
      </w:pPr>
      <w:r>
        <w:t>Illustrative data rate assessments for the range of achievable SNRs [Section 5]</w:t>
      </w:r>
    </w:p>
    <w:p w:rsidR="0050752A" w:rsidRDefault="00C47F26">
      <w:pPr>
        <w:numPr>
          <w:ilvl w:val="0"/>
          <w:numId w:val="1"/>
        </w:numPr>
        <w:spacing w:before="0" w:after="120"/>
      </w:pPr>
      <w:r>
        <w:t xml:space="preserve">A description of the different sets of satellite parameters (“set1” and “set2” specified in TR 38.821 and “set3” and “set4” discussed in R1-2009098), along with our proposal to consider a set of satellite parameters well representative of the characteristics of small </w:t>
      </w:r>
      <w:proofErr w:type="spellStart"/>
      <w:r>
        <w:t>sats</w:t>
      </w:r>
      <w:proofErr w:type="spellEnd"/>
      <w:r>
        <w:t xml:space="preserve"> / </w:t>
      </w:r>
      <w:proofErr w:type="spellStart"/>
      <w:r>
        <w:t>CubeSats</w:t>
      </w:r>
      <w:proofErr w:type="spellEnd"/>
      <w:r>
        <w:t xml:space="preserve"> scenarios as part of the cases to be </w:t>
      </w:r>
      <w:proofErr w:type="spellStart"/>
      <w:r>
        <w:t>analysed</w:t>
      </w:r>
      <w:proofErr w:type="spellEnd"/>
      <w:r>
        <w:t xml:space="preserve"> in the Study Item [Section 6]</w:t>
      </w:r>
    </w:p>
    <w:p w:rsidR="0050752A" w:rsidRDefault="0050752A">
      <w:pPr>
        <w:spacing w:before="0" w:after="120"/>
      </w:pPr>
    </w:p>
    <w:p w:rsidR="0050752A" w:rsidRDefault="00C47F26">
      <w:pPr>
        <w:pStyle w:val="Heading1"/>
      </w:pPr>
      <w:bookmarkStart w:id="1" w:name="_heading=h.30j0zll" w:colFirst="0" w:colLast="0"/>
      <w:bookmarkEnd w:id="1"/>
      <w:r>
        <w:t>2. Relevance of small satellites / CubeSats for satellite massive IoT services</w:t>
      </w:r>
    </w:p>
    <w:p w:rsidR="0050752A" w:rsidRDefault="00C47F26">
      <w:r>
        <w:t xml:space="preserve">Reduction of the time and cost of satellite development is being achieved within the so-called </w:t>
      </w:r>
      <w:proofErr w:type="spellStart"/>
      <w:r>
        <w:t>NewSpace</w:t>
      </w:r>
      <w:proofErr w:type="spellEnd"/>
      <w:r>
        <w:t xml:space="preserve"> sector by using much smaller satellites and assuming higher levels of risk. Specifically, small satellites, and more in particular, satellite platforms compliant with the CubeSat industrial form factor, have become the ideal platforms to balance the performance and capabilities of satellites with the cost of production, launch and maintenance. The </w:t>
      </w:r>
      <w:proofErr w:type="spellStart"/>
      <w:r>
        <w:t>NewSpace</w:t>
      </w:r>
      <w:proofErr w:type="spellEnd"/>
      <w:r>
        <w:t xml:space="preserve"> sector is a growing sector that is expected to enter its maturity phase in the coming years. It is estimated that in the period 2020-2025 there will be around 3,500 new launches of CubeSats</w:t>
      </w:r>
      <w:r>
        <w:rPr>
          <w:vertAlign w:val="superscript"/>
        </w:rPr>
        <w:footnoteReference w:id="1"/>
      </w:r>
      <w:r>
        <w:t>. These figures show a growth of more than 600% compared to the launches that have been carried out in the last four years.</w:t>
      </w:r>
    </w:p>
    <w:p w:rsidR="0050752A" w:rsidRDefault="00C47F26">
      <w:r>
        <w:t xml:space="preserve">In this context, the use of small satellites such as CubeSats for the delivery of satellite IoT services is gaining momentum, with diverse projects and service offerings in this field. First initiatives appearing (e.g. </w:t>
      </w:r>
      <w:proofErr w:type="spellStart"/>
      <w:r>
        <w:t>Myriota</w:t>
      </w:r>
      <w:proofErr w:type="spellEnd"/>
      <w:r>
        <w:t xml:space="preserve">, </w:t>
      </w:r>
      <w:proofErr w:type="spellStart"/>
      <w:r>
        <w:t>Astrocast</w:t>
      </w:r>
      <w:proofErr w:type="spellEnd"/>
      <w:r>
        <w:t xml:space="preserve">, </w:t>
      </w:r>
      <w:proofErr w:type="spellStart"/>
      <w:r>
        <w:t>Hiber</w:t>
      </w:r>
      <w:proofErr w:type="spellEnd"/>
      <w:r>
        <w:t xml:space="preserve">) rely on the use of proprietary protocols or adaptations of non-3GPP terrestrial LPWA solutions (e.g. </w:t>
      </w:r>
      <w:proofErr w:type="spellStart"/>
      <w:r>
        <w:t>LoRa</w:t>
      </w:r>
      <w:proofErr w:type="spellEnd"/>
      <w:r>
        <w:t xml:space="preserve">, </w:t>
      </w:r>
      <w:proofErr w:type="spellStart"/>
      <w:r>
        <w:t>Sigfox</w:t>
      </w:r>
      <w:proofErr w:type="spellEnd"/>
      <w:r>
        <w:t>) for the implementation of the satellite IoT service.</w:t>
      </w:r>
    </w:p>
    <w:p w:rsidR="0050752A" w:rsidRDefault="00C47F26">
      <w:r>
        <w:t xml:space="preserve">Companies that support this contribution believe that it is important for the 3GPP industry to come up with an adaptation/enhancement of the NB-IoT protocol that is suitable for deployment in CubeSats or similar </w:t>
      </w:r>
      <w:r>
        <w:lastRenderedPageBreak/>
        <w:t>platforms in low density LEO constellations. This will allow 3GPP-based satellite NB-IoT systems to be able to compete in this range of solutions.</w:t>
      </w:r>
    </w:p>
    <w:p w:rsidR="0050752A" w:rsidRDefault="00C47F26">
      <w:r>
        <w:t xml:space="preserve">Unlike NR NTN solutions in LEO orbits for eMBB services, which likely require dense constellations (e.g. in the order of hundreds or more) of high capacity satellites in order to be able to provide high data rates and service continuity, NB-IoT solutions with sparse LEO constellations (e.g. in the order of tens of satellites) of CubeSats or similar platforms are anticipated to be a compelling approach to address the needs of many IoT and M2M applications. In particular, there is a wide range of delay-tolerant IoT/M2M applications that do not require continuous service coverage and that generate short, infrequent messages, that can be properly addressed with such solutions. For example, in smart agriculture applications, small messages, few messages per day, large delays are not a service problem and can be perfectly achieved by a satellite network not offering continuous coverage. More examples are maritime use cases for non-critical asset tracking where today a data logger is already used, livestock monitoring during pasture in rural areas, and in general any non- critical asset tracking in landline, environmental monitoring, wildlife monitoring and so on. </w:t>
      </w:r>
    </w:p>
    <w:p w:rsidR="0050752A" w:rsidRDefault="0050752A"/>
    <w:p w:rsidR="0050752A" w:rsidRDefault="00C47F26">
      <w:pPr>
        <w:pStyle w:val="Heading1"/>
      </w:pPr>
      <w:bookmarkStart w:id="2" w:name="_heading=h.1fob9te" w:colFirst="0" w:colLast="0"/>
      <w:bookmarkEnd w:id="2"/>
      <w:r>
        <w:t>3. Characteristics of CubeSats platforms and RF subsystems</w:t>
      </w:r>
    </w:p>
    <w:p w:rsidR="0050752A" w:rsidRDefault="00C47F26">
      <w:r>
        <w:t>The purpose of this section is to explain the characteristics of CubeSats platforms, mostly from the point of view of the key constraints/limitations that these could have on the definition of a NB-IoT solution able to work on these platforms.</w:t>
      </w:r>
    </w:p>
    <w:p w:rsidR="0050752A" w:rsidRDefault="00C47F26">
      <w:pPr>
        <w:pStyle w:val="Heading2"/>
      </w:pPr>
      <w:bookmarkStart w:id="3" w:name="_heading=h.3znysh7" w:colFirst="0" w:colLast="0"/>
      <w:bookmarkEnd w:id="3"/>
      <w:r>
        <w:t>3.1. Physical dimensions and mass</w:t>
      </w:r>
    </w:p>
    <w:p w:rsidR="0050752A" w:rsidRDefault="00C47F26">
      <w:r>
        <w:t xml:space="preserve">Satellite platforms are generally categorized according to their mass. NASA’s Small Spacecraft Technology Program [4] defines small spacecraft as follows: the term “small spacecraft” applies to any spacecraft with a wet mass of or below 180 kg; minisatellites are those with a mass of 100 – 180 kg; microsatellites have a mass of 10- 100 kg; nanosatellites have a mass of 1 – 10 kg; picosatellites have a mass of 1 – 0.01 kg, and </w:t>
      </w:r>
      <w:proofErr w:type="spellStart"/>
      <w:r>
        <w:t>femtosatellites</w:t>
      </w:r>
      <w:proofErr w:type="spellEnd"/>
      <w:r>
        <w:t xml:space="preserve"> have a mass 0.01 – 0.09 kg. Examples of a variety of spacecraft that fall into the small spacecraft category are illustrated in Figure 1 (source: [4]).</w:t>
      </w:r>
    </w:p>
    <w:p w:rsidR="00260E94" w:rsidRDefault="00260E94"/>
    <w:p w:rsidR="0050752A" w:rsidRDefault="00C47F26">
      <w:r>
        <w:rPr>
          <w:noProof/>
          <w:lang w:eastAsia="en-US"/>
        </w:rPr>
        <w:drawing>
          <wp:inline distT="114300" distB="114300" distL="114300" distR="114300">
            <wp:extent cx="6119820" cy="2679700"/>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119820" cy="2679700"/>
                    </a:xfrm>
                    <a:prstGeom prst="rect">
                      <a:avLst/>
                    </a:prstGeom>
                    <a:ln/>
                  </pic:spPr>
                </pic:pic>
              </a:graphicData>
            </a:graphic>
          </wp:inline>
        </w:drawing>
      </w:r>
    </w:p>
    <w:p w:rsidR="0050752A" w:rsidRDefault="00C47F26">
      <w:pPr>
        <w:jc w:val="center"/>
        <w:rPr>
          <w:b/>
        </w:rPr>
      </w:pPr>
      <w:r>
        <w:rPr>
          <w:b/>
        </w:rPr>
        <w:t>Figure 1. Overview of the variety of spacecraft that fall into the small spacecraft category (source: [4])</w:t>
      </w:r>
    </w:p>
    <w:p w:rsidR="0050752A" w:rsidRDefault="0050752A"/>
    <w:p w:rsidR="0050752A" w:rsidRDefault="00C47F26">
      <w:proofErr w:type="spellStart"/>
      <w:r>
        <w:t>CubeSats</w:t>
      </w:r>
      <w:proofErr w:type="spellEnd"/>
      <w:r>
        <w:t xml:space="preserve"> (</w:t>
      </w:r>
      <w:proofErr w:type="spellStart"/>
      <w:r>
        <w:t>cubesatellite</w:t>
      </w:r>
      <w:proofErr w:type="spellEnd"/>
      <w:r>
        <w:t xml:space="preserve">, cube satellite) are a type of nanosatellites defined by the CubeSat Design Specification (CSD), unofficially called the CubeSat standard [5]. The CSD [6] establishes a standard size and form factor, </w:t>
      </w:r>
      <w:r>
        <w:lastRenderedPageBreak/>
        <w:t xml:space="preserve">which unit is defined as “U”.  A 1U CubeSat is a 10 cm × 10 cm × 11.35 cm cube with a mass up to 2 kg. The latest CSD (release 14) defines the envelopes for 1U, 1.5U, 2U, 3U, U+, 6U, and 12U. For instance, the dimensions of a 12U CubeSat are 20 cm x 20 cm x 34.05 cm and its mass can be up to 24 kg (note that in this configuration a CubeSat actually falls within the category of microsatellites). And while not yet included in the CSD, extensions up to a 27U configuration have also been developed [4][7]. </w:t>
      </w:r>
    </w:p>
    <w:p w:rsidR="0050752A" w:rsidRDefault="00C47F26">
      <w:r>
        <w:t xml:space="preserve">Fixing the satellite body dimensions promotes a highly modular, highly integrated system where satellite subsystems are available as COTS products from a number of different suppliers and can be stacked together according to the needs of the mission. Furthermore, the standard dimensions also </w:t>
      </w:r>
      <w:proofErr w:type="gramStart"/>
      <w:r>
        <w:t>allows</w:t>
      </w:r>
      <w:proofErr w:type="gramEnd"/>
      <w:r>
        <w:t xml:space="preserve"> CubeSats to hitch a ride to orbit within a container, which simplifies the accommodation on the launcher and minimizes flight safety issues, increasing the number of launch opportunities as well as keeping the launch cost low. According to ESA, a 3U CubeSat, with dimensions of 10x10x30 cm and a weight of about 3-4 kg, is typically the minimum setting which can accommodate small technology payloads [8]. </w:t>
      </w:r>
    </w:p>
    <w:p w:rsidR="0050752A" w:rsidRDefault="0050752A"/>
    <w:p w:rsidR="0050752A" w:rsidRDefault="00C47F26">
      <w:pPr>
        <w:pStyle w:val="Heading2"/>
      </w:pPr>
      <w:bookmarkStart w:id="4" w:name="_heading=h.2et92p0" w:colFirst="0" w:colLast="0"/>
      <w:bookmarkEnd w:id="4"/>
      <w:r>
        <w:t>3.2. Power budget characteristics</w:t>
      </w:r>
    </w:p>
    <w:p w:rsidR="0050752A" w:rsidRDefault="00C47F26">
      <w:r>
        <w:t>Representative values of typical available payload power (average per orbit) for different CubeSat sizes are given in Table 1.</w:t>
      </w:r>
    </w:p>
    <w:p w:rsidR="0050752A" w:rsidRDefault="0050752A"/>
    <w:tbl>
      <w:tblPr>
        <w:tblStyle w:val="affe"/>
        <w:tblW w:w="4720" w:type="dxa"/>
        <w:tblInd w:w="25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00"/>
        <w:gridCol w:w="2620"/>
      </w:tblGrid>
      <w:tr w:rsidR="0050752A">
        <w:tc>
          <w:tcPr>
            <w:tcW w:w="2100" w:type="dxa"/>
            <w:shd w:val="clear" w:color="auto" w:fill="134F5C"/>
            <w:tcMar>
              <w:top w:w="100" w:type="dxa"/>
              <w:left w:w="100" w:type="dxa"/>
              <w:bottom w:w="100" w:type="dxa"/>
              <w:right w:w="100" w:type="dxa"/>
            </w:tcMar>
          </w:tcPr>
          <w:p w:rsidR="0050752A" w:rsidRDefault="00C47F26">
            <w:pPr>
              <w:widowControl w:val="0"/>
              <w:pBdr>
                <w:top w:val="nil"/>
                <w:left w:val="nil"/>
                <w:bottom w:val="nil"/>
                <w:right w:val="nil"/>
                <w:between w:val="nil"/>
              </w:pBdr>
              <w:jc w:val="left"/>
              <w:rPr>
                <w:color w:val="FFFFFF"/>
              </w:rPr>
            </w:pPr>
            <w:r>
              <w:rPr>
                <w:color w:val="FFFFFF"/>
              </w:rPr>
              <w:t>Platform size</w:t>
            </w:r>
          </w:p>
        </w:tc>
        <w:tc>
          <w:tcPr>
            <w:tcW w:w="2620" w:type="dxa"/>
            <w:shd w:val="clear" w:color="auto" w:fill="134F5C"/>
            <w:tcMar>
              <w:top w:w="100" w:type="dxa"/>
              <w:left w:w="100" w:type="dxa"/>
              <w:bottom w:w="100" w:type="dxa"/>
              <w:right w:w="100" w:type="dxa"/>
            </w:tcMar>
          </w:tcPr>
          <w:p w:rsidR="0050752A" w:rsidRDefault="00C47F26">
            <w:pPr>
              <w:widowControl w:val="0"/>
              <w:pBdr>
                <w:top w:val="nil"/>
                <w:left w:val="nil"/>
                <w:bottom w:val="nil"/>
                <w:right w:val="nil"/>
                <w:between w:val="nil"/>
              </w:pBdr>
              <w:jc w:val="left"/>
              <w:rPr>
                <w:color w:val="FFFFFF"/>
              </w:rPr>
            </w:pPr>
            <w:r>
              <w:rPr>
                <w:color w:val="FFFFFF"/>
              </w:rPr>
              <w:t>Available payload power</w:t>
            </w:r>
          </w:p>
        </w:tc>
      </w:tr>
      <w:tr w:rsidR="0050752A">
        <w:tc>
          <w:tcPr>
            <w:tcW w:w="2100" w:type="dxa"/>
            <w:shd w:val="clear" w:color="auto" w:fill="auto"/>
            <w:tcMar>
              <w:top w:w="100" w:type="dxa"/>
              <w:left w:w="100" w:type="dxa"/>
              <w:bottom w:w="100" w:type="dxa"/>
              <w:right w:w="100" w:type="dxa"/>
            </w:tcMar>
          </w:tcPr>
          <w:p w:rsidR="0050752A" w:rsidRDefault="00C47F26">
            <w:pPr>
              <w:widowControl w:val="0"/>
              <w:pBdr>
                <w:top w:val="nil"/>
                <w:left w:val="nil"/>
                <w:bottom w:val="nil"/>
                <w:right w:val="nil"/>
                <w:between w:val="nil"/>
              </w:pBdr>
              <w:jc w:val="center"/>
            </w:pPr>
            <w:r>
              <w:t>3U</w:t>
            </w:r>
          </w:p>
        </w:tc>
        <w:tc>
          <w:tcPr>
            <w:tcW w:w="2620" w:type="dxa"/>
            <w:shd w:val="clear" w:color="auto" w:fill="auto"/>
            <w:tcMar>
              <w:top w:w="100" w:type="dxa"/>
              <w:left w:w="100" w:type="dxa"/>
              <w:bottom w:w="100" w:type="dxa"/>
              <w:right w:w="100" w:type="dxa"/>
            </w:tcMar>
          </w:tcPr>
          <w:p w:rsidR="0050752A" w:rsidRDefault="00C47F26">
            <w:pPr>
              <w:widowControl w:val="0"/>
              <w:pBdr>
                <w:top w:val="nil"/>
                <w:left w:val="nil"/>
                <w:bottom w:val="nil"/>
                <w:right w:val="nil"/>
                <w:between w:val="nil"/>
              </w:pBdr>
              <w:jc w:val="center"/>
            </w:pPr>
            <w:r>
              <w:t>5 W</w:t>
            </w:r>
          </w:p>
        </w:tc>
      </w:tr>
      <w:tr w:rsidR="0050752A">
        <w:tc>
          <w:tcPr>
            <w:tcW w:w="2100" w:type="dxa"/>
            <w:shd w:val="clear" w:color="auto" w:fill="auto"/>
            <w:tcMar>
              <w:top w:w="100" w:type="dxa"/>
              <w:left w:w="100" w:type="dxa"/>
              <w:bottom w:w="100" w:type="dxa"/>
              <w:right w:w="100" w:type="dxa"/>
            </w:tcMar>
          </w:tcPr>
          <w:p w:rsidR="0050752A" w:rsidRDefault="00C47F26">
            <w:pPr>
              <w:widowControl w:val="0"/>
              <w:pBdr>
                <w:top w:val="nil"/>
                <w:left w:val="nil"/>
                <w:bottom w:val="nil"/>
                <w:right w:val="nil"/>
                <w:between w:val="nil"/>
              </w:pBdr>
              <w:jc w:val="center"/>
            </w:pPr>
            <w:r>
              <w:t>6U</w:t>
            </w:r>
          </w:p>
        </w:tc>
        <w:tc>
          <w:tcPr>
            <w:tcW w:w="2620" w:type="dxa"/>
            <w:shd w:val="clear" w:color="auto" w:fill="auto"/>
            <w:tcMar>
              <w:top w:w="100" w:type="dxa"/>
              <w:left w:w="100" w:type="dxa"/>
              <w:bottom w:w="100" w:type="dxa"/>
              <w:right w:w="100" w:type="dxa"/>
            </w:tcMar>
          </w:tcPr>
          <w:p w:rsidR="0050752A" w:rsidRDefault="00C47F26">
            <w:pPr>
              <w:widowControl w:val="0"/>
              <w:pBdr>
                <w:top w:val="nil"/>
                <w:left w:val="nil"/>
                <w:bottom w:val="nil"/>
                <w:right w:val="nil"/>
                <w:between w:val="nil"/>
              </w:pBdr>
              <w:jc w:val="center"/>
            </w:pPr>
            <w:r>
              <w:t>20 W</w:t>
            </w:r>
          </w:p>
        </w:tc>
      </w:tr>
      <w:tr w:rsidR="0050752A">
        <w:tc>
          <w:tcPr>
            <w:tcW w:w="2100" w:type="dxa"/>
            <w:shd w:val="clear" w:color="auto" w:fill="auto"/>
            <w:tcMar>
              <w:top w:w="100" w:type="dxa"/>
              <w:left w:w="100" w:type="dxa"/>
              <w:bottom w:w="100" w:type="dxa"/>
              <w:right w:w="100" w:type="dxa"/>
            </w:tcMar>
          </w:tcPr>
          <w:p w:rsidR="0050752A" w:rsidRDefault="00C47F26">
            <w:pPr>
              <w:widowControl w:val="0"/>
              <w:pBdr>
                <w:top w:val="nil"/>
                <w:left w:val="nil"/>
                <w:bottom w:val="nil"/>
                <w:right w:val="nil"/>
                <w:between w:val="nil"/>
              </w:pBdr>
              <w:jc w:val="center"/>
            </w:pPr>
            <w:r>
              <w:t>12U</w:t>
            </w:r>
          </w:p>
        </w:tc>
        <w:tc>
          <w:tcPr>
            <w:tcW w:w="2620" w:type="dxa"/>
            <w:shd w:val="clear" w:color="auto" w:fill="auto"/>
            <w:tcMar>
              <w:top w:w="100" w:type="dxa"/>
              <w:left w:w="100" w:type="dxa"/>
              <w:bottom w:w="100" w:type="dxa"/>
              <w:right w:w="100" w:type="dxa"/>
            </w:tcMar>
          </w:tcPr>
          <w:p w:rsidR="0050752A" w:rsidRDefault="00C47F26">
            <w:pPr>
              <w:widowControl w:val="0"/>
              <w:pBdr>
                <w:top w:val="nil"/>
                <w:left w:val="nil"/>
                <w:bottom w:val="nil"/>
                <w:right w:val="nil"/>
                <w:between w:val="nil"/>
              </w:pBdr>
              <w:jc w:val="center"/>
            </w:pPr>
            <w:r>
              <w:t>40 W</w:t>
            </w:r>
          </w:p>
        </w:tc>
      </w:tr>
    </w:tbl>
    <w:p w:rsidR="0050752A" w:rsidRDefault="00C47F26">
      <w:pPr>
        <w:spacing w:before="240" w:after="240"/>
        <w:jc w:val="center"/>
        <w:rPr>
          <w:b/>
        </w:rPr>
      </w:pPr>
      <w:r>
        <w:rPr>
          <w:b/>
        </w:rPr>
        <w:t>Table 1. Available payload power (average per orbit) for different CubeSat sizes</w:t>
      </w:r>
    </w:p>
    <w:p w:rsidR="0050752A" w:rsidRDefault="0050752A"/>
    <w:p w:rsidR="0050752A" w:rsidRDefault="00C47F26">
      <w:pPr>
        <w:pStyle w:val="Heading2"/>
      </w:pPr>
      <w:bookmarkStart w:id="5" w:name="_heading=h.tyjcwt" w:colFirst="0" w:colLast="0"/>
      <w:bookmarkEnd w:id="5"/>
      <w:r>
        <w:t>3.3. RF systems characteristics</w:t>
      </w:r>
    </w:p>
    <w:p w:rsidR="0050752A" w:rsidRDefault="00C47F26">
      <w:pPr>
        <w:pStyle w:val="Heading3"/>
      </w:pPr>
      <w:bookmarkStart w:id="6" w:name="_heading=h.3dy6vkm" w:colFirst="0" w:colLast="0"/>
      <w:bookmarkEnd w:id="6"/>
      <w:r>
        <w:t>3.3.1. Antennas</w:t>
      </w:r>
    </w:p>
    <w:p w:rsidR="0050752A" w:rsidRDefault="00C47F26">
      <w:r>
        <w:t>Typically, the main limitation for CubeSat antennas is the size of the available surface on faces pointing to Nadir (Earth) as well as the available volume for deployable antennas. CubeSats are specially limited in the envelope of external elements due to the launcher deployer dimensions. Deployable antennas are allowed but they are limited by this envelope in the external faces of the satellite.</w:t>
      </w:r>
    </w:p>
    <w:p w:rsidR="0050752A" w:rsidRDefault="00C47F26">
      <w:r>
        <w:t>Low complexity antennas are preferred due to their lower cost and reduced risk of failure once in orbit (for example, a deployable antenna has more risk of failure so a fixed patch antenna is preferred).</w:t>
      </w:r>
    </w:p>
    <w:p w:rsidR="0050752A" w:rsidRDefault="00C47F26">
      <w:r>
        <w:t>Besides, most of the COTS antennas for CubeSats are intended for point-to-point communications with ground stations and not to provide a service to a region. Of course, there are some commonalities but they are not optimized for multi-point service.</w:t>
      </w:r>
    </w:p>
    <w:p w:rsidR="0050752A" w:rsidRDefault="00C47F26">
      <w:r>
        <w:t>There are many antennas available today for CubeSats. Table 2 shows examples of existing antenna products in S-band and its characteristics.</w:t>
      </w:r>
    </w:p>
    <w:p w:rsidR="0050752A" w:rsidRDefault="0050752A">
      <w:pPr>
        <w:spacing w:before="240" w:after="240"/>
        <w:jc w:val="center"/>
      </w:pPr>
    </w:p>
    <w:p w:rsidR="0050752A" w:rsidRDefault="0050752A">
      <w:pPr>
        <w:widowControl w:val="0"/>
        <w:spacing w:before="0" w:after="0" w:line="276" w:lineRule="auto"/>
      </w:pPr>
    </w:p>
    <w:p w:rsidR="0050752A" w:rsidRDefault="0050752A">
      <w:pPr>
        <w:widowControl w:val="0"/>
        <w:spacing w:before="0" w:after="0" w:line="276" w:lineRule="auto"/>
        <w:jc w:val="left"/>
        <w:rPr>
          <w:rFonts w:ascii="Arial" w:eastAsia="Arial" w:hAnsi="Arial" w:cs="Arial"/>
        </w:rPr>
      </w:pPr>
    </w:p>
    <w:tbl>
      <w:tblPr>
        <w:tblStyle w:val="afff"/>
        <w:tblW w:w="9566" w:type="dxa"/>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38"/>
        <w:gridCol w:w="1391"/>
        <w:gridCol w:w="1701"/>
        <w:gridCol w:w="4036"/>
      </w:tblGrid>
      <w:tr w:rsidR="0050752A">
        <w:trPr>
          <w:trHeight w:val="500"/>
        </w:trPr>
        <w:tc>
          <w:tcPr>
            <w:tcW w:w="2438" w:type="dxa"/>
            <w:tcBorders>
              <w:top w:val="single" w:sz="8" w:space="0" w:color="9E9E9E"/>
              <w:left w:val="single" w:sz="8" w:space="0" w:color="9E9E9E"/>
              <w:bottom w:val="single" w:sz="8" w:space="0" w:color="9E9E9E"/>
              <w:right w:val="single" w:sz="8" w:space="0" w:color="9E9E9E"/>
            </w:tcBorders>
            <w:shd w:val="clear" w:color="auto" w:fill="134F5C"/>
            <w:tcMar>
              <w:top w:w="40" w:type="dxa"/>
              <w:left w:w="40" w:type="dxa"/>
              <w:bottom w:w="40" w:type="dxa"/>
              <w:right w:w="40" w:type="dxa"/>
            </w:tcMar>
            <w:vAlign w:val="center"/>
          </w:tcPr>
          <w:p w:rsidR="0050752A" w:rsidRDefault="00C47F26">
            <w:pPr>
              <w:widowControl w:val="0"/>
              <w:jc w:val="center"/>
              <w:rPr>
                <w:color w:val="FFFFFF"/>
              </w:rPr>
            </w:pPr>
            <w:r>
              <w:rPr>
                <w:color w:val="FFFFFF"/>
              </w:rPr>
              <w:lastRenderedPageBreak/>
              <w:t>Antenna</w:t>
            </w:r>
          </w:p>
        </w:tc>
        <w:tc>
          <w:tcPr>
            <w:tcW w:w="1391" w:type="dxa"/>
            <w:tcBorders>
              <w:top w:val="single" w:sz="8" w:space="0" w:color="9E9E9E"/>
              <w:left w:val="single" w:sz="8" w:space="0" w:color="9E9E9E"/>
              <w:bottom w:val="single" w:sz="8" w:space="0" w:color="9E9E9E"/>
              <w:right w:val="single" w:sz="8" w:space="0" w:color="9E9E9E"/>
            </w:tcBorders>
            <w:shd w:val="clear" w:color="auto" w:fill="134F5C"/>
            <w:tcMar>
              <w:top w:w="40" w:type="dxa"/>
              <w:left w:w="40" w:type="dxa"/>
              <w:bottom w:w="40" w:type="dxa"/>
              <w:right w:w="40" w:type="dxa"/>
            </w:tcMar>
            <w:vAlign w:val="center"/>
          </w:tcPr>
          <w:p w:rsidR="0050752A" w:rsidRDefault="00C47F26">
            <w:pPr>
              <w:widowControl w:val="0"/>
              <w:jc w:val="center"/>
              <w:rPr>
                <w:color w:val="FFFFFF"/>
              </w:rPr>
            </w:pPr>
            <w:r>
              <w:rPr>
                <w:color w:val="FFFFFF"/>
              </w:rPr>
              <w:t>Manufacturer</w:t>
            </w:r>
          </w:p>
        </w:tc>
        <w:tc>
          <w:tcPr>
            <w:tcW w:w="1701" w:type="dxa"/>
            <w:tcBorders>
              <w:top w:val="single" w:sz="8" w:space="0" w:color="9E9E9E"/>
              <w:left w:val="single" w:sz="8" w:space="0" w:color="9E9E9E"/>
              <w:bottom w:val="single" w:sz="8" w:space="0" w:color="9E9E9E"/>
              <w:right w:val="single" w:sz="8" w:space="0" w:color="9E9E9E"/>
            </w:tcBorders>
            <w:shd w:val="clear" w:color="auto" w:fill="134F5C"/>
            <w:tcMar>
              <w:top w:w="40" w:type="dxa"/>
              <w:left w:w="40" w:type="dxa"/>
              <w:bottom w:w="40" w:type="dxa"/>
              <w:right w:w="40" w:type="dxa"/>
            </w:tcMar>
            <w:vAlign w:val="center"/>
          </w:tcPr>
          <w:p w:rsidR="0050752A" w:rsidRDefault="00C47F26">
            <w:pPr>
              <w:widowControl w:val="0"/>
              <w:jc w:val="center"/>
              <w:rPr>
                <w:color w:val="FFFFFF"/>
              </w:rPr>
            </w:pPr>
            <w:r>
              <w:rPr>
                <w:color w:val="FFFFFF"/>
              </w:rPr>
              <w:t>Type</w:t>
            </w:r>
          </w:p>
        </w:tc>
        <w:tc>
          <w:tcPr>
            <w:tcW w:w="4036" w:type="dxa"/>
            <w:tcBorders>
              <w:top w:val="single" w:sz="8" w:space="0" w:color="9E9E9E"/>
              <w:left w:val="single" w:sz="8" w:space="0" w:color="9E9E9E"/>
              <w:bottom w:val="single" w:sz="8" w:space="0" w:color="9E9E9E"/>
              <w:right w:val="single" w:sz="8" w:space="0" w:color="9E9E9E"/>
            </w:tcBorders>
            <w:shd w:val="clear" w:color="auto" w:fill="134F5C"/>
            <w:tcMar>
              <w:top w:w="40" w:type="dxa"/>
              <w:left w:w="40" w:type="dxa"/>
              <w:bottom w:w="40" w:type="dxa"/>
              <w:right w:w="40" w:type="dxa"/>
            </w:tcMar>
            <w:vAlign w:val="center"/>
          </w:tcPr>
          <w:p w:rsidR="0050752A" w:rsidRDefault="00C47F26">
            <w:pPr>
              <w:widowControl w:val="0"/>
              <w:pBdr>
                <w:top w:val="nil"/>
                <w:left w:val="nil"/>
                <w:bottom w:val="nil"/>
                <w:right w:val="nil"/>
                <w:between w:val="nil"/>
              </w:pBdr>
              <w:jc w:val="center"/>
              <w:rPr>
                <w:color w:val="FFFFFF"/>
              </w:rPr>
            </w:pPr>
            <w:r>
              <w:rPr>
                <w:color w:val="FFFFFF"/>
              </w:rPr>
              <w:t>Characteristics</w:t>
            </w:r>
          </w:p>
        </w:tc>
      </w:tr>
      <w:tr w:rsidR="0050752A">
        <w:trPr>
          <w:trHeight w:val="320"/>
        </w:trPr>
        <w:tc>
          <w:tcPr>
            <w:tcW w:w="2438"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CubeSat S-band patch antenna</w:t>
            </w:r>
          </w:p>
        </w:tc>
        <w:tc>
          <w:tcPr>
            <w:tcW w:w="139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ISIS</w:t>
            </w:r>
          </w:p>
        </w:tc>
        <w:tc>
          <w:tcPr>
            <w:tcW w:w="170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Patch antenna</w:t>
            </w:r>
          </w:p>
        </w:tc>
        <w:tc>
          <w:tcPr>
            <w:tcW w:w="4036"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ind w:left="130"/>
              <w:jc w:val="left"/>
            </w:pPr>
            <w:r>
              <w:t xml:space="preserve">Gain: 6.6 </w:t>
            </w:r>
            <w:proofErr w:type="spellStart"/>
            <w:r>
              <w:t>dBi</w:t>
            </w:r>
            <w:proofErr w:type="spellEnd"/>
          </w:p>
          <w:p w:rsidR="0050752A" w:rsidRDefault="00C47F26">
            <w:pPr>
              <w:widowControl w:val="0"/>
              <w:spacing w:line="276" w:lineRule="auto"/>
              <w:ind w:left="130"/>
              <w:jc w:val="left"/>
            </w:pPr>
            <w:r>
              <w:t xml:space="preserve">Vertical and Horizontal HBPW: 100º </w:t>
            </w:r>
          </w:p>
          <w:p w:rsidR="0050752A" w:rsidRDefault="00C47F26">
            <w:pPr>
              <w:widowControl w:val="0"/>
              <w:spacing w:line="276" w:lineRule="auto"/>
              <w:ind w:left="130"/>
              <w:jc w:val="left"/>
            </w:pPr>
            <w:r>
              <w:t xml:space="preserve">Circular </w:t>
            </w:r>
            <w:proofErr w:type="spellStart"/>
            <w:r>
              <w:t>polarisation</w:t>
            </w:r>
            <w:proofErr w:type="spellEnd"/>
            <w:r>
              <w:t xml:space="preserve"> </w:t>
            </w:r>
          </w:p>
        </w:tc>
      </w:tr>
      <w:tr w:rsidR="0050752A">
        <w:trPr>
          <w:trHeight w:val="500"/>
        </w:trPr>
        <w:tc>
          <w:tcPr>
            <w:tcW w:w="2438"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HISPICO</w:t>
            </w:r>
          </w:p>
        </w:tc>
        <w:tc>
          <w:tcPr>
            <w:tcW w:w="139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IQ wireless</w:t>
            </w:r>
          </w:p>
        </w:tc>
        <w:tc>
          <w:tcPr>
            <w:tcW w:w="170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Patch antenna</w:t>
            </w:r>
          </w:p>
        </w:tc>
        <w:tc>
          <w:tcPr>
            <w:tcW w:w="4036"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ind w:left="130"/>
              <w:jc w:val="left"/>
            </w:pPr>
            <w:r>
              <w:t xml:space="preserve">Gain: 6 </w:t>
            </w:r>
            <w:proofErr w:type="spellStart"/>
            <w:r>
              <w:t>dBi</w:t>
            </w:r>
            <w:proofErr w:type="spellEnd"/>
          </w:p>
          <w:p w:rsidR="0050752A" w:rsidRDefault="00C47F26">
            <w:pPr>
              <w:widowControl w:val="0"/>
              <w:spacing w:line="276" w:lineRule="auto"/>
              <w:ind w:left="130"/>
              <w:jc w:val="left"/>
            </w:pPr>
            <w:r>
              <w:t>Vertical and Horizontal HPBW: 85º</w:t>
            </w:r>
          </w:p>
          <w:p w:rsidR="0050752A" w:rsidRDefault="00C47F26">
            <w:pPr>
              <w:widowControl w:val="0"/>
              <w:spacing w:line="276" w:lineRule="auto"/>
              <w:ind w:left="130"/>
              <w:jc w:val="left"/>
            </w:pPr>
            <w:r>
              <w:t xml:space="preserve">Circular </w:t>
            </w:r>
            <w:proofErr w:type="spellStart"/>
            <w:r>
              <w:t>polarisation</w:t>
            </w:r>
            <w:proofErr w:type="spellEnd"/>
            <w:r>
              <w:t xml:space="preserve"> </w:t>
            </w:r>
          </w:p>
        </w:tc>
      </w:tr>
      <w:tr w:rsidR="0050752A">
        <w:trPr>
          <w:trHeight w:val="500"/>
        </w:trPr>
        <w:tc>
          <w:tcPr>
            <w:tcW w:w="2438"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proofErr w:type="spellStart"/>
            <w:r>
              <w:t>Endurosat</w:t>
            </w:r>
            <w:proofErr w:type="spellEnd"/>
            <w:r>
              <w:t xml:space="preserve"> S-BAND ANTENNA ISM</w:t>
            </w:r>
          </w:p>
        </w:tc>
        <w:tc>
          <w:tcPr>
            <w:tcW w:w="139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proofErr w:type="spellStart"/>
            <w:r>
              <w:t>Endurosat</w:t>
            </w:r>
            <w:proofErr w:type="spellEnd"/>
          </w:p>
        </w:tc>
        <w:tc>
          <w:tcPr>
            <w:tcW w:w="170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Patch antenna</w:t>
            </w:r>
          </w:p>
        </w:tc>
        <w:tc>
          <w:tcPr>
            <w:tcW w:w="4036"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ind w:left="130"/>
              <w:jc w:val="left"/>
            </w:pPr>
            <w:r>
              <w:t>Gain: 8.3 dB</w:t>
            </w:r>
          </w:p>
          <w:p w:rsidR="0050752A" w:rsidRDefault="00C47F26">
            <w:pPr>
              <w:widowControl w:val="0"/>
              <w:spacing w:line="276" w:lineRule="auto"/>
              <w:ind w:left="130"/>
              <w:jc w:val="left"/>
            </w:pPr>
            <w:r>
              <w:t>Vertical and Horizontal HPBW: 71º</w:t>
            </w:r>
          </w:p>
          <w:p w:rsidR="0050752A" w:rsidRDefault="00C47F26">
            <w:pPr>
              <w:widowControl w:val="0"/>
              <w:spacing w:line="276" w:lineRule="auto"/>
              <w:ind w:left="130"/>
              <w:jc w:val="left"/>
            </w:pPr>
            <w:r>
              <w:t xml:space="preserve">Circular </w:t>
            </w:r>
            <w:proofErr w:type="spellStart"/>
            <w:r>
              <w:t>polarisation</w:t>
            </w:r>
            <w:proofErr w:type="spellEnd"/>
            <w:r>
              <w:t xml:space="preserve"> </w:t>
            </w:r>
          </w:p>
        </w:tc>
      </w:tr>
      <w:tr w:rsidR="0050752A">
        <w:trPr>
          <w:trHeight w:val="500"/>
        </w:trPr>
        <w:tc>
          <w:tcPr>
            <w:tcW w:w="2438"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S-BAND ANTENNA WIDEBAND</w:t>
            </w:r>
          </w:p>
        </w:tc>
        <w:tc>
          <w:tcPr>
            <w:tcW w:w="139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proofErr w:type="spellStart"/>
            <w:r>
              <w:t>Endurosat</w:t>
            </w:r>
            <w:proofErr w:type="spellEnd"/>
          </w:p>
        </w:tc>
        <w:tc>
          <w:tcPr>
            <w:tcW w:w="170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Patch antenna</w:t>
            </w:r>
          </w:p>
        </w:tc>
        <w:tc>
          <w:tcPr>
            <w:tcW w:w="4036"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ind w:left="130"/>
              <w:jc w:val="left"/>
            </w:pPr>
            <w:r>
              <w:t xml:space="preserve">Gain: + 5dBi </w:t>
            </w:r>
          </w:p>
          <w:p w:rsidR="0050752A" w:rsidRDefault="00C47F26">
            <w:pPr>
              <w:widowControl w:val="0"/>
              <w:spacing w:line="276" w:lineRule="auto"/>
              <w:ind w:left="130"/>
              <w:jc w:val="left"/>
            </w:pPr>
            <w:r>
              <w:t xml:space="preserve">Circular </w:t>
            </w:r>
            <w:proofErr w:type="spellStart"/>
            <w:r>
              <w:t>polarisation</w:t>
            </w:r>
            <w:proofErr w:type="spellEnd"/>
            <w:r>
              <w:t xml:space="preserve"> </w:t>
            </w:r>
          </w:p>
        </w:tc>
      </w:tr>
      <w:tr w:rsidR="0050752A">
        <w:trPr>
          <w:trHeight w:val="700"/>
        </w:trPr>
        <w:tc>
          <w:tcPr>
            <w:tcW w:w="2438"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proofErr w:type="spellStart"/>
            <w:r>
              <w:t>Cubesat</w:t>
            </w:r>
            <w:proofErr w:type="spellEnd"/>
            <w:r>
              <w:t xml:space="preserve"> S-band patch antenna</w:t>
            </w:r>
          </w:p>
        </w:tc>
        <w:tc>
          <w:tcPr>
            <w:tcW w:w="139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proofErr w:type="spellStart"/>
            <w:r>
              <w:t>Nanoavionics</w:t>
            </w:r>
            <w:proofErr w:type="spellEnd"/>
          </w:p>
        </w:tc>
        <w:tc>
          <w:tcPr>
            <w:tcW w:w="170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Patch antenna</w:t>
            </w:r>
          </w:p>
        </w:tc>
        <w:tc>
          <w:tcPr>
            <w:tcW w:w="4036"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ind w:left="130"/>
              <w:jc w:val="left"/>
            </w:pPr>
            <w:r>
              <w:t>Gain: 6 dB</w:t>
            </w:r>
          </w:p>
          <w:p w:rsidR="0050752A" w:rsidRDefault="00C47F26">
            <w:pPr>
              <w:widowControl w:val="0"/>
              <w:spacing w:line="276" w:lineRule="auto"/>
              <w:ind w:left="130"/>
              <w:jc w:val="left"/>
            </w:pPr>
            <w:r>
              <w:t>Vertical and Horizontal HPBW: 80º</w:t>
            </w:r>
          </w:p>
          <w:p w:rsidR="0050752A" w:rsidRDefault="00C47F26">
            <w:pPr>
              <w:widowControl w:val="0"/>
              <w:spacing w:line="276" w:lineRule="auto"/>
              <w:ind w:left="130"/>
              <w:jc w:val="left"/>
            </w:pPr>
            <w:r>
              <w:t xml:space="preserve">Circular </w:t>
            </w:r>
            <w:proofErr w:type="spellStart"/>
            <w:r>
              <w:t>polarisation</w:t>
            </w:r>
            <w:proofErr w:type="spellEnd"/>
            <w:r>
              <w:t xml:space="preserve"> </w:t>
            </w:r>
          </w:p>
        </w:tc>
      </w:tr>
      <w:tr w:rsidR="0050752A">
        <w:trPr>
          <w:trHeight w:val="700"/>
        </w:trPr>
        <w:tc>
          <w:tcPr>
            <w:tcW w:w="2438"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proofErr w:type="spellStart"/>
            <w:r>
              <w:t>NanoCom</w:t>
            </w:r>
            <w:proofErr w:type="spellEnd"/>
            <w:r>
              <w:t xml:space="preserve"> ANT2000</w:t>
            </w:r>
          </w:p>
        </w:tc>
        <w:tc>
          <w:tcPr>
            <w:tcW w:w="139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proofErr w:type="spellStart"/>
            <w:r>
              <w:t>GomSpace</w:t>
            </w:r>
            <w:proofErr w:type="spellEnd"/>
          </w:p>
        </w:tc>
        <w:tc>
          <w:tcPr>
            <w:tcW w:w="1701"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jc w:val="center"/>
            </w:pPr>
            <w:r>
              <w:t>Patch antenna</w:t>
            </w:r>
          </w:p>
        </w:tc>
        <w:tc>
          <w:tcPr>
            <w:tcW w:w="4036" w:type="dxa"/>
            <w:tcBorders>
              <w:top w:val="single" w:sz="8" w:space="0" w:color="9E9E9E"/>
              <w:left w:val="single" w:sz="8" w:space="0" w:color="9E9E9E"/>
              <w:bottom w:val="single" w:sz="8" w:space="0" w:color="9E9E9E"/>
              <w:right w:val="single" w:sz="8" w:space="0" w:color="9E9E9E"/>
            </w:tcBorders>
            <w:tcMar>
              <w:top w:w="40" w:type="dxa"/>
              <w:left w:w="40" w:type="dxa"/>
              <w:bottom w:w="40" w:type="dxa"/>
              <w:right w:w="40" w:type="dxa"/>
            </w:tcMar>
            <w:vAlign w:val="center"/>
          </w:tcPr>
          <w:p w:rsidR="0050752A" w:rsidRDefault="00C47F26">
            <w:pPr>
              <w:widowControl w:val="0"/>
              <w:spacing w:line="276" w:lineRule="auto"/>
              <w:ind w:left="130"/>
              <w:jc w:val="left"/>
            </w:pPr>
            <w:r>
              <w:t>Gain: 8 dB</w:t>
            </w:r>
          </w:p>
          <w:p w:rsidR="0050752A" w:rsidRDefault="00C47F26">
            <w:pPr>
              <w:widowControl w:val="0"/>
              <w:spacing w:line="276" w:lineRule="auto"/>
              <w:ind w:left="130"/>
              <w:jc w:val="left"/>
            </w:pPr>
            <w:r>
              <w:t>Vertical and Horizontal HPBW: 74º</w:t>
            </w:r>
          </w:p>
          <w:p w:rsidR="0050752A" w:rsidRDefault="00C47F26">
            <w:pPr>
              <w:widowControl w:val="0"/>
              <w:spacing w:line="276" w:lineRule="auto"/>
              <w:ind w:left="130"/>
              <w:jc w:val="left"/>
            </w:pPr>
            <w:r>
              <w:t xml:space="preserve">Circular </w:t>
            </w:r>
            <w:proofErr w:type="spellStart"/>
            <w:r>
              <w:t>polarisation</w:t>
            </w:r>
            <w:proofErr w:type="spellEnd"/>
            <w:r>
              <w:t xml:space="preserve"> </w:t>
            </w:r>
          </w:p>
        </w:tc>
      </w:tr>
    </w:tbl>
    <w:p w:rsidR="0050752A" w:rsidRDefault="00C47F26">
      <w:pPr>
        <w:spacing w:before="240" w:after="240"/>
        <w:jc w:val="center"/>
        <w:rPr>
          <w:b/>
        </w:rPr>
      </w:pPr>
      <w:r>
        <w:rPr>
          <w:b/>
        </w:rPr>
        <w:t>Table 2. S-band antennas available for CubeSats</w:t>
      </w:r>
    </w:p>
    <w:p w:rsidR="0050752A" w:rsidRDefault="0050752A">
      <w:pPr>
        <w:spacing w:before="240" w:after="240"/>
      </w:pPr>
    </w:p>
    <w:p w:rsidR="0050752A" w:rsidRDefault="00C47F26">
      <w:r>
        <w:t>As mentioned above, Table 2 shows antennas found on the market today but whose design does not necessarily meet the requirements of an NB-IoT service. Considering the dimensional constraints of CubeSats, Table 3 shows some theoretical gain estimates of antenna patch arrays in S-band designed for different horizontal and vertical HPBW ratios in 6U/12U CubeSats with current state-of-the-art antenna technologies. Note that antennas with a high HPBW in one dimension and low HPBW in the other could offer a good trade-off to support large beam footprints (for instance, in the direction perpendicular to satellite’s movement) with antenna gains higher than those achievable with symmetrical radiation pattern antennas listed in Table 2.</w:t>
      </w:r>
    </w:p>
    <w:p w:rsidR="0050752A" w:rsidRDefault="0050752A"/>
    <w:tbl>
      <w:tblPr>
        <w:tblStyle w:val="afff0"/>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bottom w:w="0" w:type="dxa"/>
        </w:tblCellMar>
        <w:tblLook w:val="0400" w:firstRow="0" w:lastRow="0" w:firstColumn="0" w:lastColumn="0" w:noHBand="0" w:noVBand="1"/>
      </w:tblPr>
      <w:tblGrid>
        <w:gridCol w:w="1925"/>
        <w:gridCol w:w="1925"/>
        <w:gridCol w:w="1926"/>
        <w:gridCol w:w="1926"/>
        <w:gridCol w:w="1926"/>
      </w:tblGrid>
      <w:tr w:rsidR="0050752A" w:rsidTr="00260E94">
        <w:tc>
          <w:tcPr>
            <w:tcW w:w="1925" w:type="dxa"/>
            <w:shd w:val="clear" w:color="auto" w:fill="134F5C"/>
          </w:tcPr>
          <w:p w:rsidR="0050752A" w:rsidRDefault="00C47F26">
            <w:pPr>
              <w:widowControl w:val="0"/>
              <w:jc w:val="center"/>
              <w:rPr>
                <w:color w:val="FFFFFF"/>
              </w:rPr>
            </w:pPr>
            <w:r>
              <w:rPr>
                <w:color w:val="FFFFFF"/>
              </w:rPr>
              <w:t>Dimensional constraints</w:t>
            </w:r>
          </w:p>
        </w:tc>
        <w:tc>
          <w:tcPr>
            <w:tcW w:w="1925" w:type="dxa"/>
            <w:shd w:val="clear" w:color="auto" w:fill="134F5C"/>
          </w:tcPr>
          <w:p w:rsidR="0050752A" w:rsidRDefault="00C47F26">
            <w:pPr>
              <w:widowControl w:val="0"/>
              <w:jc w:val="center"/>
              <w:rPr>
                <w:color w:val="FFFFFF"/>
              </w:rPr>
            </w:pPr>
            <w:r>
              <w:rPr>
                <w:color w:val="FFFFFF"/>
              </w:rPr>
              <w:t>Horizontal HPBW (degrees)</w:t>
            </w:r>
          </w:p>
        </w:tc>
        <w:tc>
          <w:tcPr>
            <w:tcW w:w="1926" w:type="dxa"/>
            <w:shd w:val="clear" w:color="auto" w:fill="134F5C"/>
          </w:tcPr>
          <w:p w:rsidR="0050752A" w:rsidRDefault="00C47F26">
            <w:pPr>
              <w:widowControl w:val="0"/>
              <w:jc w:val="center"/>
              <w:rPr>
                <w:color w:val="FFFFFF"/>
              </w:rPr>
            </w:pPr>
            <w:r>
              <w:rPr>
                <w:color w:val="FFFFFF"/>
              </w:rPr>
              <w:t>Vertical HPBW</w:t>
            </w:r>
          </w:p>
          <w:p w:rsidR="0050752A" w:rsidRDefault="00C47F26">
            <w:pPr>
              <w:widowControl w:val="0"/>
              <w:jc w:val="center"/>
              <w:rPr>
                <w:color w:val="FFFFFF"/>
              </w:rPr>
            </w:pPr>
            <w:r>
              <w:rPr>
                <w:color w:val="FFFFFF"/>
              </w:rPr>
              <w:t>(degrees)</w:t>
            </w:r>
          </w:p>
        </w:tc>
        <w:tc>
          <w:tcPr>
            <w:tcW w:w="1926" w:type="dxa"/>
            <w:shd w:val="clear" w:color="auto" w:fill="134F5C"/>
          </w:tcPr>
          <w:p w:rsidR="0050752A" w:rsidRDefault="00C47F26">
            <w:pPr>
              <w:widowControl w:val="0"/>
              <w:jc w:val="center"/>
              <w:rPr>
                <w:color w:val="FFFFFF"/>
              </w:rPr>
            </w:pPr>
            <w:r>
              <w:rPr>
                <w:color w:val="FFFFFF"/>
              </w:rPr>
              <w:t>Gain</w:t>
            </w:r>
          </w:p>
          <w:p w:rsidR="0050752A" w:rsidRDefault="00C47F26">
            <w:pPr>
              <w:widowControl w:val="0"/>
              <w:jc w:val="center"/>
              <w:rPr>
                <w:color w:val="FFFFFF"/>
              </w:rPr>
            </w:pPr>
            <w:r>
              <w:rPr>
                <w:color w:val="FFFFFF"/>
              </w:rPr>
              <w:t>(</w:t>
            </w:r>
            <w:proofErr w:type="spellStart"/>
            <w:r>
              <w:rPr>
                <w:color w:val="FFFFFF"/>
              </w:rPr>
              <w:t>dBi</w:t>
            </w:r>
            <w:proofErr w:type="spellEnd"/>
            <w:r>
              <w:rPr>
                <w:color w:val="FFFFFF"/>
              </w:rPr>
              <w:t>)</w:t>
            </w:r>
          </w:p>
        </w:tc>
        <w:tc>
          <w:tcPr>
            <w:tcW w:w="1926" w:type="dxa"/>
            <w:shd w:val="clear" w:color="auto" w:fill="134F5C"/>
          </w:tcPr>
          <w:p w:rsidR="0050752A" w:rsidRDefault="00C47F26">
            <w:pPr>
              <w:widowControl w:val="0"/>
              <w:jc w:val="center"/>
              <w:rPr>
                <w:color w:val="FFFFFF"/>
              </w:rPr>
            </w:pPr>
            <w:r>
              <w:rPr>
                <w:color w:val="FFFFFF"/>
              </w:rPr>
              <w:t xml:space="preserve">Estimated number of patches (X </w:t>
            </w:r>
            <w:proofErr w:type="spellStart"/>
            <w:r>
              <w:rPr>
                <w:color w:val="FFFFFF"/>
              </w:rPr>
              <w:t>x</w:t>
            </w:r>
            <w:proofErr w:type="spellEnd"/>
            <w:r>
              <w:rPr>
                <w:color w:val="FFFFFF"/>
              </w:rPr>
              <w:t xml:space="preserve"> Y)</w:t>
            </w:r>
          </w:p>
        </w:tc>
      </w:tr>
      <w:tr w:rsidR="0050752A" w:rsidTr="00260E94">
        <w:tc>
          <w:tcPr>
            <w:tcW w:w="1925" w:type="dxa"/>
          </w:tcPr>
          <w:p w:rsidR="0050752A" w:rsidRDefault="00C47F26">
            <w:pPr>
              <w:jc w:val="center"/>
            </w:pPr>
            <w:r>
              <w:t>10x20cm</w:t>
            </w:r>
          </w:p>
        </w:tc>
        <w:tc>
          <w:tcPr>
            <w:tcW w:w="1925" w:type="dxa"/>
          </w:tcPr>
          <w:p w:rsidR="0050752A" w:rsidRDefault="00C47F26">
            <w:pPr>
              <w:jc w:val="center"/>
            </w:pPr>
            <w:r>
              <w:t>60</w:t>
            </w:r>
          </w:p>
        </w:tc>
        <w:tc>
          <w:tcPr>
            <w:tcW w:w="1926" w:type="dxa"/>
          </w:tcPr>
          <w:p w:rsidR="0050752A" w:rsidRDefault="00C47F26">
            <w:pPr>
              <w:jc w:val="center"/>
            </w:pPr>
            <w:r>
              <w:t>30</w:t>
            </w:r>
          </w:p>
        </w:tc>
        <w:tc>
          <w:tcPr>
            <w:tcW w:w="1926" w:type="dxa"/>
          </w:tcPr>
          <w:p w:rsidR="0050752A" w:rsidRDefault="00C47F26">
            <w:pPr>
              <w:jc w:val="center"/>
            </w:pPr>
            <w:r>
              <w:t>11</w:t>
            </w:r>
          </w:p>
        </w:tc>
        <w:tc>
          <w:tcPr>
            <w:tcW w:w="1926" w:type="dxa"/>
          </w:tcPr>
          <w:p w:rsidR="0050752A" w:rsidRDefault="00C47F26">
            <w:pPr>
              <w:jc w:val="center"/>
            </w:pPr>
            <w:r>
              <w:t>2</w:t>
            </w:r>
          </w:p>
        </w:tc>
      </w:tr>
      <w:tr w:rsidR="0050752A" w:rsidTr="00260E94">
        <w:tc>
          <w:tcPr>
            <w:tcW w:w="1925" w:type="dxa"/>
          </w:tcPr>
          <w:p w:rsidR="0050752A" w:rsidRDefault="00C47F26">
            <w:pPr>
              <w:jc w:val="center"/>
            </w:pPr>
            <w:r>
              <w:t>10x20cm</w:t>
            </w:r>
          </w:p>
        </w:tc>
        <w:tc>
          <w:tcPr>
            <w:tcW w:w="1925" w:type="dxa"/>
          </w:tcPr>
          <w:p w:rsidR="0050752A" w:rsidRDefault="00C47F26">
            <w:pPr>
              <w:jc w:val="center"/>
            </w:pPr>
            <w:r>
              <w:t>100</w:t>
            </w:r>
          </w:p>
        </w:tc>
        <w:tc>
          <w:tcPr>
            <w:tcW w:w="1926" w:type="dxa"/>
          </w:tcPr>
          <w:p w:rsidR="0050752A" w:rsidRDefault="00C47F26">
            <w:pPr>
              <w:jc w:val="center"/>
            </w:pPr>
            <w:r>
              <w:t>30</w:t>
            </w:r>
          </w:p>
        </w:tc>
        <w:tc>
          <w:tcPr>
            <w:tcW w:w="1926" w:type="dxa"/>
          </w:tcPr>
          <w:p w:rsidR="0050752A" w:rsidRDefault="00C47F26">
            <w:pPr>
              <w:jc w:val="center"/>
            </w:pPr>
            <w:r>
              <w:t>7.5</w:t>
            </w:r>
          </w:p>
        </w:tc>
        <w:tc>
          <w:tcPr>
            <w:tcW w:w="1926" w:type="dxa"/>
          </w:tcPr>
          <w:p w:rsidR="0050752A" w:rsidRDefault="00C47F26">
            <w:pPr>
              <w:jc w:val="center"/>
            </w:pPr>
            <w:r>
              <w:t>4</w:t>
            </w:r>
          </w:p>
        </w:tc>
      </w:tr>
      <w:tr w:rsidR="0050752A" w:rsidTr="00260E94">
        <w:tc>
          <w:tcPr>
            <w:tcW w:w="1925" w:type="dxa"/>
          </w:tcPr>
          <w:p w:rsidR="0050752A" w:rsidRDefault="00C47F26">
            <w:pPr>
              <w:jc w:val="center"/>
            </w:pPr>
            <w:r>
              <w:t>10x30cm</w:t>
            </w:r>
          </w:p>
        </w:tc>
        <w:tc>
          <w:tcPr>
            <w:tcW w:w="1925" w:type="dxa"/>
          </w:tcPr>
          <w:p w:rsidR="0050752A" w:rsidRDefault="00C47F26">
            <w:pPr>
              <w:jc w:val="center"/>
            </w:pPr>
            <w:r>
              <w:t>60</w:t>
            </w:r>
          </w:p>
        </w:tc>
        <w:tc>
          <w:tcPr>
            <w:tcW w:w="1926" w:type="dxa"/>
          </w:tcPr>
          <w:p w:rsidR="0050752A" w:rsidRDefault="00C47F26">
            <w:pPr>
              <w:jc w:val="center"/>
            </w:pPr>
            <w:r>
              <w:t>30</w:t>
            </w:r>
          </w:p>
        </w:tc>
        <w:tc>
          <w:tcPr>
            <w:tcW w:w="1926" w:type="dxa"/>
          </w:tcPr>
          <w:p w:rsidR="0050752A" w:rsidRDefault="00C47F26">
            <w:pPr>
              <w:jc w:val="center"/>
            </w:pPr>
            <w:r>
              <w:t>12.5</w:t>
            </w:r>
          </w:p>
        </w:tc>
        <w:tc>
          <w:tcPr>
            <w:tcW w:w="1926" w:type="dxa"/>
          </w:tcPr>
          <w:p w:rsidR="0050752A" w:rsidRDefault="00C47F26">
            <w:pPr>
              <w:jc w:val="center"/>
            </w:pPr>
            <w:r>
              <w:t>3</w:t>
            </w:r>
          </w:p>
        </w:tc>
      </w:tr>
      <w:tr w:rsidR="0050752A" w:rsidTr="00260E94">
        <w:tc>
          <w:tcPr>
            <w:tcW w:w="1925" w:type="dxa"/>
          </w:tcPr>
          <w:p w:rsidR="0050752A" w:rsidRDefault="00C47F26">
            <w:pPr>
              <w:jc w:val="center"/>
            </w:pPr>
            <w:r>
              <w:t>10x30cm</w:t>
            </w:r>
          </w:p>
        </w:tc>
        <w:tc>
          <w:tcPr>
            <w:tcW w:w="1925" w:type="dxa"/>
          </w:tcPr>
          <w:p w:rsidR="0050752A" w:rsidRDefault="00C47F26">
            <w:pPr>
              <w:jc w:val="center"/>
            </w:pPr>
            <w:r>
              <w:t>100</w:t>
            </w:r>
          </w:p>
        </w:tc>
        <w:tc>
          <w:tcPr>
            <w:tcW w:w="1926" w:type="dxa"/>
          </w:tcPr>
          <w:p w:rsidR="0050752A" w:rsidRDefault="00C47F26">
            <w:pPr>
              <w:jc w:val="center"/>
            </w:pPr>
            <w:r>
              <w:t>20</w:t>
            </w:r>
          </w:p>
        </w:tc>
        <w:tc>
          <w:tcPr>
            <w:tcW w:w="1926" w:type="dxa"/>
          </w:tcPr>
          <w:p w:rsidR="0050752A" w:rsidRDefault="00C47F26">
            <w:pPr>
              <w:jc w:val="center"/>
            </w:pPr>
            <w:r>
              <w:t>10</w:t>
            </w:r>
          </w:p>
        </w:tc>
        <w:tc>
          <w:tcPr>
            <w:tcW w:w="1926" w:type="dxa"/>
          </w:tcPr>
          <w:p w:rsidR="0050752A" w:rsidRDefault="00C47F26">
            <w:pPr>
              <w:jc w:val="center"/>
            </w:pPr>
            <w:r>
              <w:t>6</w:t>
            </w:r>
          </w:p>
        </w:tc>
      </w:tr>
      <w:tr w:rsidR="0050752A" w:rsidTr="00260E94">
        <w:tc>
          <w:tcPr>
            <w:tcW w:w="1925" w:type="dxa"/>
          </w:tcPr>
          <w:p w:rsidR="0050752A" w:rsidRDefault="00C47F26">
            <w:pPr>
              <w:jc w:val="center"/>
            </w:pPr>
            <w:r>
              <w:t>15x30cm</w:t>
            </w:r>
          </w:p>
        </w:tc>
        <w:tc>
          <w:tcPr>
            <w:tcW w:w="1925" w:type="dxa"/>
          </w:tcPr>
          <w:p w:rsidR="0050752A" w:rsidRDefault="00C47F26">
            <w:pPr>
              <w:jc w:val="center"/>
            </w:pPr>
            <w:r>
              <w:t>45</w:t>
            </w:r>
          </w:p>
        </w:tc>
        <w:tc>
          <w:tcPr>
            <w:tcW w:w="1926" w:type="dxa"/>
          </w:tcPr>
          <w:p w:rsidR="0050752A" w:rsidRDefault="00C47F26">
            <w:pPr>
              <w:jc w:val="center"/>
            </w:pPr>
            <w:r>
              <w:t>20</w:t>
            </w:r>
          </w:p>
        </w:tc>
        <w:tc>
          <w:tcPr>
            <w:tcW w:w="1926" w:type="dxa"/>
          </w:tcPr>
          <w:p w:rsidR="0050752A" w:rsidRDefault="00C47F26">
            <w:pPr>
              <w:jc w:val="center"/>
            </w:pPr>
            <w:r>
              <w:t>13</w:t>
            </w:r>
          </w:p>
        </w:tc>
        <w:tc>
          <w:tcPr>
            <w:tcW w:w="1926" w:type="dxa"/>
          </w:tcPr>
          <w:p w:rsidR="0050752A" w:rsidRDefault="00C47F26">
            <w:pPr>
              <w:jc w:val="center"/>
            </w:pPr>
            <w:r>
              <w:t>8</w:t>
            </w:r>
          </w:p>
        </w:tc>
      </w:tr>
      <w:tr w:rsidR="0050752A" w:rsidTr="00260E94">
        <w:tc>
          <w:tcPr>
            <w:tcW w:w="1925" w:type="dxa"/>
          </w:tcPr>
          <w:p w:rsidR="0050752A" w:rsidRDefault="00C47F26">
            <w:pPr>
              <w:jc w:val="center"/>
            </w:pPr>
            <w:r>
              <w:t>20x30cm</w:t>
            </w:r>
          </w:p>
        </w:tc>
        <w:tc>
          <w:tcPr>
            <w:tcW w:w="1925" w:type="dxa"/>
          </w:tcPr>
          <w:p w:rsidR="0050752A" w:rsidRDefault="00C47F26">
            <w:pPr>
              <w:jc w:val="center"/>
            </w:pPr>
            <w:r>
              <w:t>30</w:t>
            </w:r>
          </w:p>
        </w:tc>
        <w:tc>
          <w:tcPr>
            <w:tcW w:w="1926" w:type="dxa"/>
          </w:tcPr>
          <w:p w:rsidR="0050752A" w:rsidRDefault="00C47F26">
            <w:pPr>
              <w:jc w:val="center"/>
            </w:pPr>
            <w:r>
              <w:t>20</w:t>
            </w:r>
          </w:p>
        </w:tc>
        <w:tc>
          <w:tcPr>
            <w:tcW w:w="1926" w:type="dxa"/>
          </w:tcPr>
          <w:p w:rsidR="0050752A" w:rsidRDefault="00C47F26">
            <w:pPr>
              <w:jc w:val="center"/>
            </w:pPr>
            <w:r>
              <w:t>14.5</w:t>
            </w:r>
          </w:p>
        </w:tc>
        <w:tc>
          <w:tcPr>
            <w:tcW w:w="1926" w:type="dxa"/>
          </w:tcPr>
          <w:p w:rsidR="0050752A" w:rsidRDefault="00C47F26">
            <w:pPr>
              <w:jc w:val="center"/>
            </w:pPr>
            <w:r>
              <w:t>6</w:t>
            </w:r>
          </w:p>
        </w:tc>
      </w:tr>
      <w:tr w:rsidR="0050752A" w:rsidTr="00260E94">
        <w:tc>
          <w:tcPr>
            <w:tcW w:w="1925" w:type="dxa"/>
          </w:tcPr>
          <w:p w:rsidR="0050752A" w:rsidRDefault="00C47F26">
            <w:pPr>
              <w:jc w:val="center"/>
            </w:pPr>
            <w:r>
              <w:t>20x30cm</w:t>
            </w:r>
          </w:p>
        </w:tc>
        <w:tc>
          <w:tcPr>
            <w:tcW w:w="1925" w:type="dxa"/>
          </w:tcPr>
          <w:p w:rsidR="0050752A" w:rsidRDefault="00C47F26">
            <w:pPr>
              <w:jc w:val="center"/>
            </w:pPr>
            <w:r>
              <w:t>90</w:t>
            </w:r>
          </w:p>
        </w:tc>
        <w:tc>
          <w:tcPr>
            <w:tcW w:w="1926" w:type="dxa"/>
          </w:tcPr>
          <w:p w:rsidR="0050752A" w:rsidRDefault="00C47F26">
            <w:pPr>
              <w:jc w:val="center"/>
            </w:pPr>
            <w:r>
              <w:t>30</w:t>
            </w:r>
          </w:p>
        </w:tc>
        <w:tc>
          <w:tcPr>
            <w:tcW w:w="1926" w:type="dxa"/>
          </w:tcPr>
          <w:p w:rsidR="0050752A" w:rsidRDefault="00C47F26">
            <w:pPr>
              <w:jc w:val="center"/>
            </w:pPr>
            <w:r>
              <w:t>12</w:t>
            </w:r>
          </w:p>
        </w:tc>
        <w:tc>
          <w:tcPr>
            <w:tcW w:w="1926" w:type="dxa"/>
          </w:tcPr>
          <w:p w:rsidR="0050752A" w:rsidRDefault="00C47F26">
            <w:pPr>
              <w:jc w:val="center"/>
            </w:pPr>
            <w:r>
              <w:t>12</w:t>
            </w:r>
          </w:p>
        </w:tc>
      </w:tr>
    </w:tbl>
    <w:p w:rsidR="0050752A" w:rsidRDefault="00C47F26">
      <w:pPr>
        <w:spacing w:before="240" w:after="240"/>
        <w:jc w:val="center"/>
        <w:rPr>
          <w:b/>
        </w:rPr>
      </w:pPr>
      <w:r>
        <w:rPr>
          <w:b/>
        </w:rPr>
        <w:t>Table 3. Range of achievable gains (estimates) for S-band antennas under different dimensional constraints and vertical/horizontal HPBW configurations.</w:t>
      </w:r>
    </w:p>
    <w:p w:rsidR="0050752A" w:rsidRDefault="0050752A">
      <w:pPr>
        <w:spacing w:before="240" w:after="240"/>
        <w:jc w:val="center"/>
      </w:pPr>
    </w:p>
    <w:p w:rsidR="0050752A" w:rsidRDefault="00C47F26">
      <w:pPr>
        <w:pStyle w:val="Heading3"/>
      </w:pPr>
      <w:bookmarkStart w:id="7" w:name="_heading=h.1t3h5sf" w:colFirst="0" w:colLast="0"/>
      <w:bookmarkEnd w:id="7"/>
      <w:r>
        <w:lastRenderedPageBreak/>
        <w:t>3.3.2. RF Front-Ends</w:t>
      </w:r>
    </w:p>
    <w:p w:rsidR="0050752A" w:rsidRDefault="00C47F26">
      <w:r>
        <w:t>The main limitation in RF front-ends is the output power that can be achieved with a reduced power consumption. This also introduces another constraint that is the ability to dissipate heat in a satellite of this size.</w:t>
      </w:r>
    </w:p>
    <w:p w:rsidR="0050752A" w:rsidRDefault="00C47F26">
      <w:r>
        <w:t>When increasing the output RF power of the payload, the design shall consider how to dissipate this additional heat from the power amplifiers, especially for high duty cycles or continuous operation. This will require to include additional elements like heat pipes or radiators in a platform that is already limited in volume by definition.</w:t>
      </w:r>
    </w:p>
    <w:p w:rsidR="0050752A" w:rsidRDefault="00C47F26">
      <w:r>
        <w:t>Other issues to be accounted are:</w:t>
      </w:r>
    </w:p>
    <w:p w:rsidR="0050752A" w:rsidRDefault="00C47F26">
      <w:pPr>
        <w:numPr>
          <w:ilvl w:val="0"/>
          <w:numId w:val="3"/>
        </w:numPr>
        <w:spacing w:after="0"/>
      </w:pPr>
      <w:r>
        <w:t xml:space="preserve">EMC/EMI impact. </w:t>
      </w:r>
      <w:proofErr w:type="spellStart"/>
      <w:r>
        <w:t>CubeCats</w:t>
      </w:r>
      <w:proofErr w:type="spellEnd"/>
      <w:r>
        <w:t xml:space="preserve"> are highly-integrated systems. Several electronic devices are assembled together and the amount of RF shielding is also constrained by available volume and mass.</w:t>
      </w:r>
    </w:p>
    <w:p w:rsidR="0050752A" w:rsidRDefault="00C47F26">
      <w:pPr>
        <w:numPr>
          <w:ilvl w:val="0"/>
          <w:numId w:val="3"/>
        </w:numPr>
        <w:spacing w:before="0"/>
      </w:pPr>
      <w:r>
        <w:t>There is very limited space to separate the antennas or the RF units between them to avoid auto-interference. This may have an impact on the noise floor of auto-interference level.</w:t>
      </w:r>
    </w:p>
    <w:p w:rsidR="0050752A" w:rsidRDefault="00C47F26">
      <w:r>
        <w:t>Based on the above, transmit powers supported by RF FEs for CubeSats are typically in the range of 33 dBm.</w:t>
      </w:r>
    </w:p>
    <w:p w:rsidR="0050752A" w:rsidRDefault="0050752A"/>
    <w:p w:rsidR="0050752A" w:rsidRDefault="00C47F26">
      <w:pPr>
        <w:pStyle w:val="Heading3"/>
      </w:pPr>
      <w:bookmarkStart w:id="8" w:name="_heading=h.4d34og8" w:colFirst="0" w:colLast="0"/>
      <w:bookmarkEnd w:id="8"/>
      <w:r>
        <w:t>3.3.3. Multi-beam configurations</w:t>
      </w:r>
    </w:p>
    <w:p w:rsidR="0050752A" w:rsidRDefault="00C47F26">
      <w:r>
        <w:t xml:space="preserve">Multi-beam configurations may require several antennas pointed to different directions or more complex antennas with beamforming capabilities. Multi-beam configurations may also require several RF front-ends. Therefore, the feasibility of multi-beam configurations is importantly constrained by the surface and volume available in the satellite platform to handle multiple antennas as well as the budget power available for the payload with multiple front-ends. </w:t>
      </w:r>
    </w:p>
    <w:p w:rsidR="0050752A" w:rsidRDefault="00C47F26">
      <w:r>
        <w:t>Indicative consumption estimation for multi-beam IoT payloads at 100% duty cycle (full-duplex) are in the range of 20W for one beam, 35W for two beams and 55W for four beams.</w:t>
      </w:r>
    </w:p>
    <w:p w:rsidR="0050752A" w:rsidRDefault="00C47F26">
      <w:r>
        <w:br w:type="page"/>
      </w:r>
    </w:p>
    <w:p w:rsidR="0050752A" w:rsidRDefault="00C47F26">
      <w:pPr>
        <w:pStyle w:val="Heading1"/>
      </w:pPr>
      <w:bookmarkStart w:id="9" w:name="_heading=h.2s8eyo1" w:colFirst="0" w:colLast="0"/>
      <w:bookmarkEnd w:id="9"/>
      <w:r>
        <w:lastRenderedPageBreak/>
        <w:t>4. Link budget analysis</w:t>
      </w:r>
    </w:p>
    <w:p w:rsidR="0050752A" w:rsidRDefault="00C47F26">
      <w:r>
        <w:t xml:space="preserve">Based on the above characteristics of CubeSats platforms and RF components, this section provides estimations of the DL SNR and UL SNR for NB-IoT NTN. </w:t>
      </w:r>
    </w:p>
    <w:p w:rsidR="0050752A" w:rsidRDefault="00C47F26">
      <w:r>
        <w:t xml:space="preserve">Table 4, 5 and 6 show parameters assumed in the link budget computations for, respectively, the satellite platform, the UE, and the UL location and satellite channel attenuation characteristics. The values given between brackets for some selected parameters are used to compute the ranges of SNRs. </w:t>
      </w:r>
    </w:p>
    <w:p w:rsidR="0050752A" w:rsidRDefault="0050752A"/>
    <w:tbl>
      <w:tblPr>
        <w:tblStyle w:val="afff1"/>
        <w:tblW w:w="75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28" w:type="dxa"/>
        </w:tblCellMar>
        <w:tblLook w:val="0400" w:firstRow="0" w:lastRow="0" w:firstColumn="0" w:lastColumn="0" w:noHBand="0" w:noVBand="1"/>
      </w:tblPr>
      <w:tblGrid>
        <w:gridCol w:w="4253"/>
        <w:gridCol w:w="3265"/>
      </w:tblGrid>
      <w:tr w:rsidR="0050752A" w:rsidTr="00256430">
        <w:trPr>
          <w:jc w:val="center"/>
        </w:trPr>
        <w:tc>
          <w:tcPr>
            <w:tcW w:w="4253" w:type="dxa"/>
            <w:shd w:val="clear" w:color="auto" w:fill="134F5C"/>
            <w:vAlign w:val="center"/>
          </w:tcPr>
          <w:p w:rsidR="0050752A" w:rsidRDefault="00C47F26" w:rsidP="00256430">
            <w:pPr>
              <w:jc w:val="left"/>
              <w:rPr>
                <w:color w:val="FFFFFF"/>
              </w:rPr>
            </w:pPr>
            <w:r>
              <w:rPr>
                <w:color w:val="FFFFFF"/>
              </w:rPr>
              <w:t>Satellite type</w:t>
            </w:r>
          </w:p>
        </w:tc>
        <w:tc>
          <w:tcPr>
            <w:tcW w:w="3265" w:type="dxa"/>
            <w:vAlign w:val="center"/>
          </w:tcPr>
          <w:p w:rsidR="0050752A" w:rsidRDefault="00C47F26" w:rsidP="00256430">
            <w:pPr>
              <w:jc w:val="left"/>
            </w:pPr>
            <w:r>
              <w:t>Small sat / CubeSat</w:t>
            </w:r>
          </w:p>
        </w:tc>
      </w:tr>
      <w:tr w:rsidR="0050752A" w:rsidTr="00256430">
        <w:trPr>
          <w:jc w:val="center"/>
        </w:trPr>
        <w:tc>
          <w:tcPr>
            <w:tcW w:w="4253" w:type="dxa"/>
            <w:shd w:val="clear" w:color="auto" w:fill="134F5C"/>
            <w:vAlign w:val="center"/>
          </w:tcPr>
          <w:p w:rsidR="0050752A" w:rsidRDefault="00C47F26" w:rsidP="00256430">
            <w:pPr>
              <w:jc w:val="left"/>
              <w:rPr>
                <w:color w:val="FFFFFF"/>
              </w:rPr>
            </w:pPr>
            <w:r>
              <w:rPr>
                <w:color w:val="FFFFFF"/>
              </w:rPr>
              <w:t>Altitude</w:t>
            </w:r>
          </w:p>
        </w:tc>
        <w:tc>
          <w:tcPr>
            <w:tcW w:w="3265" w:type="dxa"/>
            <w:vAlign w:val="center"/>
          </w:tcPr>
          <w:p w:rsidR="0050752A" w:rsidRDefault="00C47F26" w:rsidP="00256430">
            <w:pPr>
              <w:jc w:val="left"/>
            </w:pPr>
            <w:r>
              <w:t>600 km, circular orbit</w:t>
            </w:r>
          </w:p>
        </w:tc>
      </w:tr>
      <w:tr w:rsidR="0050752A" w:rsidTr="00256430">
        <w:trPr>
          <w:jc w:val="center"/>
        </w:trPr>
        <w:tc>
          <w:tcPr>
            <w:tcW w:w="4253" w:type="dxa"/>
            <w:shd w:val="clear" w:color="auto" w:fill="134F5C"/>
            <w:vAlign w:val="center"/>
          </w:tcPr>
          <w:p w:rsidR="0050752A" w:rsidRDefault="00C47F26" w:rsidP="00256430">
            <w:pPr>
              <w:jc w:val="left"/>
              <w:rPr>
                <w:color w:val="FFFFFF"/>
              </w:rPr>
            </w:pPr>
            <w:r>
              <w:rPr>
                <w:color w:val="FFFFFF"/>
              </w:rPr>
              <w:t>Transmit power (per beam)</w:t>
            </w:r>
          </w:p>
        </w:tc>
        <w:tc>
          <w:tcPr>
            <w:tcW w:w="3265" w:type="dxa"/>
            <w:vAlign w:val="center"/>
          </w:tcPr>
          <w:p w:rsidR="0050752A" w:rsidRDefault="00C47F26" w:rsidP="00256430">
            <w:pPr>
              <w:jc w:val="left"/>
            </w:pPr>
            <w:r>
              <w:t>33 dBm</w:t>
            </w:r>
          </w:p>
        </w:tc>
      </w:tr>
      <w:tr w:rsidR="0050752A" w:rsidTr="00256430">
        <w:trPr>
          <w:jc w:val="center"/>
        </w:trPr>
        <w:tc>
          <w:tcPr>
            <w:tcW w:w="4253" w:type="dxa"/>
            <w:shd w:val="clear" w:color="auto" w:fill="134F5C"/>
            <w:vAlign w:val="center"/>
          </w:tcPr>
          <w:p w:rsidR="0050752A" w:rsidRDefault="00C47F26" w:rsidP="00256430">
            <w:pPr>
              <w:jc w:val="left"/>
              <w:rPr>
                <w:color w:val="FFFFFF"/>
              </w:rPr>
            </w:pPr>
            <w:r>
              <w:rPr>
                <w:color w:val="FFFFFF"/>
              </w:rPr>
              <w:t>Satellite Antenna Gain</w:t>
            </w:r>
          </w:p>
        </w:tc>
        <w:tc>
          <w:tcPr>
            <w:tcW w:w="3265" w:type="dxa"/>
            <w:vAlign w:val="center"/>
          </w:tcPr>
          <w:p w:rsidR="0050752A" w:rsidRDefault="00C47F26" w:rsidP="00256430">
            <w:pPr>
              <w:jc w:val="left"/>
            </w:pPr>
            <w:r>
              <w:t>{7, 11, 15} dB</w:t>
            </w:r>
          </w:p>
        </w:tc>
      </w:tr>
      <w:tr w:rsidR="0050752A" w:rsidTr="00256430">
        <w:trPr>
          <w:jc w:val="center"/>
        </w:trPr>
        <w:tc>
          <w:tcPr>
            <w:tcW w:w="4253" w:type="dxa"/>
            <w:shd w:val="clear" w:color="auto" w:fill="134F5C"/>
            <w:vAlign w:val="center"/>
          </w:tcPr>
          <w:p w:rsidR="0050752A" w:rsidRDefault="00C47F26" w:rsidP="00256430">
            <w:pPr>
              <w:jc w:val="left"/>
              <w:rPr>
                <w:color w:val="FFFFFF"/>
              </w:rPr>
            </w:pPr>
            <w:r>
              <w:rPr>
                <w:color w:val="FFFFFF"/>
              </w:rPr>
              <w:t>Antenna polarization</w:t>
            </w:r>
          </w:p>
        </w:tc>
        <w:tc>
          <w:tcPr>
            <w:tcW w:w="3265" w:type="dxa"/>
            <w:vAlign w:val="center"/>
          </w:tcPr>
          <w:p w:rsidR="0050752A" w:rsidRDefault="00C47F26" w:rsidP="00256430">
            <w:pPr>
              <w:jc w:val="left"/>
            </w:pPr>
            <w:r>
              <w:t>Circular</w:t>
            </w:r>
          </w:p>
        </w:tc>
      </w:tr>
      <w:tr w:rsidR="0050752A" w:rsidTr="00256430">
        <w:trPr>
          <w:jc w:val="center"/>
        </w:trPr>
        <w:tc>
          <w:tcPr>
            <w:tcW w:w="4253" w:type="dxa"/>
            <w:shd w:val="clear" w:color="auto" w:fill="134F5C"/>
            <w:vAlign w:val="center"/>
          </w:tcPr>
          <w:p w:rsidR="0050752A" w:rsidRDefault="00C47F26" w:rsidP="00256430">
            <w:pPr>
              <w:jc w:val="left"/>
              <w:rPr>
                <w:color w:val="FFFFFF"/>
              </w:rPr>
            </w:pPr>
            <w:r>
              <w:rPr>
                <w:color w:val="FFFFFF"/>
              </w:rPr>
              <w:t>Antenna temperature</w:t>
            </w:r>
          </w:p>
        </w:tc>
        <w:tc>
          <w:tcPr>
            <w:tcW w:w="3265" w:type="dxa"/>
            <w:vAlign w:val="center"/>
          </w:tcPr>
          <w:p w:rsidR="0050752A" w:rsidRDefault="00C47F26" w:rsidP="00256430">
            <w:pPr>
              <w:jc w:val="left"/>
            </w:pPr>
            <w:r>
              <w:t>290 K</w:t>
            </w:r>
          </w:p>
        </w:tc>
      </w:tr>
      <w:tr w:rsidR="0050752A" w:rsidTr="00256430">
        <w:trPr>
          <w:jc w:val="center"/>
        </w:trPr>
        <w:tc>
          <w:tcPr>
            <w:tcW w:w="4253" w:type="dxa"/>
            <w:shd w:val="clear" w:color="auto" w:fill="134F5C"/>
            <w:vAlign w:val="center"/>
          </w:tcPr>
          <w:p w:rsidR="0050752A" w:rsidRDefault="00C47F26" w:rsidP="00256430">
            <w:pPr>
              <w:jc w:val="left"/>
              <w:rPr>
                <w:color w:val="FFFFFF"/>
              </w:rPr>
            </w:pPr>
            <w:r>
              <w:rPr>
                <w:color w:val="FFFFFF"/>
              </w:rPr>
              <w:t>Satellite Noise Figure (NF)</w:t>
            </w:r>
          </w:p>
        </w:tc>
        <w:tc>
          <w:tcPr>
            <w:tcW w:w="3265" w:type="dxa"/>
            <w:vAlign w:val="center"/>
          </w:tcPr>
          <w:p w:rsidR="0050752A" w:rsidRDefault="00C47F26" w:rsidP="00256430">
            <w:pPr>
              <w:jc w:val="left"/>
            </w:pPr>
            <w:r>
              <w:t>{3 dB, 5 dB} dB</w:t>
            </w:r>
          </w:p>
        </w:tc>
      </w:tr>
    </w:tbl>
    <w:p w:rsidR="0050752A" w:rsidRDefault="00C47F26">
      <w:pPr>
        <w:spacing w:before="240" w:after="240"/>
        <w:jc w:val="center"/>
      </w:pPr>
      <w:r>
        <w:rPr>
          <w:b/>
        </w:rPr>
        <w:t>Table 4. Satellite parameters for link budget computation</w:t>
      </w:r>
    </w:p>
    <w:p w:rsidR="0050752A" w:rsidRDefault="0050752A">
      <w:pPr>
        <w:rPr>
          <w:sz w:val="24"/>
          <w:szCs w:val="24"/>
        </w:rPr>
      </w:pPr>
    </w:p>
    <w:tbl>
      <w:tblPr>
        <w:tblStyle w:val="afff2"/>
        <w:tblW w:w="765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00" w:firstRow="0" w:lastRow="0" w:firstColumn="0" w:lastColumn="0" w:noHBand="0" w:noVBand="1"/>
      </w:tblPr>
      <w:tblGrid>
        <w:gridCol w:w="4252"/>
        <w:gridCol w:w="3402"/>
      </w:tblGrid>
      <w:tr w:rsidR="0050752A" w:rsidTr="00256430">
        <w:trPr>
          <w:jc w:val="center"/>
        </w:trPr>
        <w:tc>
          <w:tcPr>
            <w:tcW w:w="4252" w:type="dxa"/>
            <w:shd w:val="clear" w:color="auto" w:fill="134F5C"/>
            <w:vAlign w:val="center"/>
          </w:tcPr>
          <w:p w:rsidR="0050752A" w:rsidRDefault="00C47F26">
            <w:pPr>
              <w:jc w:val="left"/>
              <w:rPr>
                <w:color w:val="FFFFFF"/>
                <w:sz w:val="24"/>
                <w:szCs w:val="24"/>
              </w:rPr>
            </w:pPr>
            <w:r>
              <w:rPr>
                <w:color w:val="FFFFFF"/>
              </w:rPr>
              <w:t>UE type</w:t>
            </w:r>
          </w:p>
        </w:tc>
        <w:tc>
          <w:tcPr>
            <w:tcW w:w="3402" w:type="dxa"/>
            <w:vAlign w:val="center"/>
          </w:tcPr>
          <w:p w:rsidR="0050752A" w:rsidRDefault="00C47F26">
            <w:pPr>
              <w:jc w:val="left"/>
              <w:rPr>
                <w:sz w:val="24"/>
                <w:szCs w:val="24"/>
              </w:rPr>
            </w:pPr>
            <w:r>
              <w:t>NB-IoT small form factor device</w:t>
            </w:r>
          </w:p>
        </w:tc>
      </w:tr>
      <w:tr w:rsidR="0050752A" w:rsidTr="00256430">
        <w:trPr>
          <w:jc w:val="center"/>
        </w:trPr>
        <w:tc>
          <w:tcPr>
            <w:tcW w:w="4252" w:type="dxa"/>
            <w:shd w:val="clear" w:color="auto" w:fill="134F5C"/>
            <w:vAlign w:val="center"/>
          </w:tcPr>
          <w:p w:rsidR="0050752A" w:rsidRDefault="00C47F26">
            <w:pPr>
              <w:jc w:val="left"/>
              <w:rPr>
                <w:color w:val="FFFFFF"/>
                <w:sz w:val="24"/>
                <w:szCs w:val="24"/>
              </w:rPr>
            </w:pPr>
            <w:r>
              <w:rPr>
                <w:color w:val="FFFFFF"/>
              </w:rPr>
              <w:t>Frequency band</w:t>
            </w:r>
          </w:p>
        </w:tc>
        <w:tc>
          <w:tcPr>
            <w:tcW w:w="3402" w:type="dxa"/>
            <w:vAlign w:val="center"/>
          </w:tcPr>
          <w:p w:rsidR="0050752A" w:rsidRDefault="00C47F26">
            <w:pPr>
              <w:jc w:val="left"/>
              <w:rPr>
                <w:sz w:val="24"/>
                <w:szCs w:val="24"/>
              </w:rPr>
            </w:pPr>
            <w:r>
              <w:t>S band (i.e. 2 GHz)</w:t>
            </w:r>
          </w:p>
        </w:tc>
      </w:tr>
      <w:tr w:rsidR="0050752A" w:rsidTr="00256430">
        <w:trPr>
          <w:jc w:val="center"/>
        </w:trPr>
        <w:tc>
          <w:tcPr>
            <w:tcW w:w="4252" w:type="dxa"/>
            <w:shd w:val="clear" w:color="auto" w:fill="134F5C"/>
            <w:vAlign w:val="center"/>
          </w:tcPr>
          <w:p w:rsidR="0050752A" w:rsidRDefault="00C47F26">
            <w:pPr>
              <w:jc w:val="left"/>
              <w:rPr>
                <w:color w:val="FFFFFF"/>
                <w:sz w:val="24"/>
                <w:szCs w:val="24"/>
              </w:rPr>
            </w:pPr>
            <w:r>
              <w:rPr>
                <w:color w:val="FFFFFF"/>
              </w:rPr>
              <w:t>Transmit power</w:t>
            </w:r>
          </w:p>
        </w:tc>
        <w:tc>
          <w:tcPr>
            <w:tcW w:w="3402" w:type="dxa"/>
            <w:vAlign w:val="center"/>
          </w:tcPr>
          <w:p w:rsidR="0050752A" w:rsidRDefault="00C47F26">
            <w:pPr>
              <w:jc w:val="left"/>
              <w:rPr>
                <w:sz w:val="24"/>
                <w:szCs w:val="24"/>
              </w:rPr>
            </w:pPr>
            <w:r>
              <w:t>23 dBm</w:t>
            </w:r>
          </w:p>
        </w:tc>
      </w:tr>
      <w:tr w:rsidR="0050752A" w:rsidTr="00256430">
        <w:trPr>
          <w:jc w:val="center"/>
        </w:trPr>
        <w:tc>
          <w:tcPr>
            <w:tcW w:w="4252" w:type="dxa"/>
            <w:shd w:val="clear" w:color="auto" w:fill="134F5C"/>
            <w:vAlign w:val="center"/>
          </w:tcPr>
          <w:p w:rsidR="0050752A" w:rsidRDefault="00C47F26">
            <w:pPr>
              <w:jc w:val="left"/>
              <w:rPr>
                <w:color w:val="FFFFFF"/>
                <w:sz w:val="24"/>
                <w:szCs w:val="24"/>
              </w:rPr>
            </w:pPr>
            <w:r>
              <w:rPr>
                <w:color w:val="FFFFFF"/>
              </w:rPr>
              <w:t>Antenna Tx / Rx gain</w:t>
            </w:r>
          </w:p>
        </w:tc>
        <w:tc>
          <w:tcPr>
            <w:tcW w:w="3402" w:type="dxa"/>
            <w:vAlign w:val="center"/>
          </w:tcPr>
          <w:p w:rsidR="0050752A" w:rsidRDefault="00C47F26">
            <w:pPr>
              <w:jc w:val="left"/>
              <w:rPr>
                <w:sz w:val="24"/>
                <w:szCs w:val="24"/>
              </w:rPr>
            </w:pPr>
            <w:r>
              <w:t xml:space="preserve">0 </w:t>
            </w:r>
            <w:proofErr w:type="spellStart"/>
            <w:r>
              <w:t>dBi</w:t>
            </w:r>
            <w:proofErr w:type="spellEnd"/>
            <w:r>
              <w:t xml:space="preserve"> (Omni-directional)</w:t>
            </w:r>
          </w:p>
        </w:tc>
      </w:tr>
      <w:tr w:rsidR="0050752A" w:rsidTr="00256430">
        <w:trPr>
          <w:jc w:val="center"/>
        </w:trPr>
        <w:tc>
          <w:tcPr>
            <w:tcW w:w="4252" w:type="dxa"/>
            <w:shd w:val="clear" w:color="auto" w:fill="134F5C"/>
            <w:vAlign w:val="center"/>
          </w:tcPr>
          <w:p w:rsidR="0050752A" w:rsidRDefault="00C47F26">
            <w:pPr>
              <w:jc w:val="left"/>
              <w:rPr>
                <w:color w:val="FFFFFF"/>
                <w:sz w:val="24"/>
                <w:szCs w:val="24"/>
              </w:rPr>
            </w:pPr>
            <w:r>
              <w:rPr>
                <w:color w:val="FFFFFF"/>
              </w:rPr>
              <w:t>Polarization</w:t>
            </w:r>
          </w:p>
        </w:tc>
        <w:tc>
          <w:tcPr>
            <w:tcW w:w="3402" w:type="dxa"/>
            <w:vAlign w:val="center"/>
          </w:tcPr>
          <w:p w:rsidR="0050752A" w:rsidRDefault="00C47F26">
            <w:pPr>
              <w:jc w:val="left"/>
              <w:rPr>
                <w:sz w:val="24"/>
                <w:szCs w:val="24"/>
              </w:rPr>
            </w:pPr>
            <w:r>
              <w:t>Linear</w:t>
            </w:r>
          </w:p>
        </w:tc>
      </w:tr>
      <w:tr w:rsidR="0050752A" w:rsidTr="00256430">
        <w:trPr>
          <w:jc w:val="center"/>
        </w:trPr>
        <w:tc>
          <w:tcPr>
            <w:tcW w:w="4252" w:type="dxa"/>
            <w:shd w:val="clear" w:color="auto" w:fill="134F5C"/>
            <w:vAlign w:val="center"/>
          </w:tcPr>
          <w:p w:rsidR="0050752A" w:rsidRDefault="00C47F26">
            <w:pPr>
              <w:jc w:val="left"/>
              <w:rPr>
                <w:color w:val="FFFFFF"/>
                <w:sz w:val="24"/>
                <w:szCs w:val="24"/>
              </w:rPr>
            </w:pPr>
            <w:r>
              <w:rPr>
                <w:color w:val="FFFFFF"/>
              </w:rPr>
              <w:t>Antenna temperature</w:t>
            </w:r>
          </w:p>
        </w:tc>
        <w:tc>
          <w:tcPr>
            <w:tcW w:w="3402" w:type="dxa"/>
            <w:vAlign w:val="center"/>
          </w:tcPr>
          <w:p w:rsidR="0050752A" w:rsidRDefault="00C47F26">
            <w:pPr>
              <w:jc w:val="left"/>
              <w:rPr>
                <w:sz w:val="24"/>
                <w:szCs w:val="24"/>
              </w:rPr>
            </w:pPr>
            <w:r>
              <w:t>290 K</w:t>
            </w:r>
          </w:p>
        </w:tc>
      </w:tr>
      <w:tr w:rsidR="0050752A" w:rsidTr="00256430">
        <w:trPr>
          <w:jc w:val="center"/>
        </w:trPr>
        <w:tc>
          <w:tcPr>
            <w:tcW w:w="4252" w:type="dxa"/>
            <w:shd w:val="clear" w:color="auto" w:fill="134F5C"/>
            <w:vAlign w:val="center"/>
          </w:tcPr>
          <w:p w:rsidR="0050752A" w:rsidRDefault="00C47F26">
            <w:pPr>
              <w:jc w:val="left"/>
              <w:rPr>
                <w:color w:val="FFFFFF"/>
                <w:sz w:val="24"/>
                <w:szCs w:val="24"/>
              </w:rPr>
            </w:pPr>
            <w:r>
              <w:rPr>
                <w:color w:val="FFFFFF"/>
              </w:rPr>
              <w:t>UE Noise figure (NF)</w:t>
            </w:r>
          </w:p>
        </w:tc>
        <w:tc>
          <w:tcPr>
            <w:tcW w:w="3402" w:type="dxa"/>
            <w:vAlign w:val="center"/>
          </w:tcPr>
          <w:p w:rsidR="0050752A" w:rsidRDefault="00C47F26">
            <w:pPr>
              <w:jc w:val="left"/>
              <w:rPr>
                <w:sz w:val="24"/>
                <w:szCs w:val="24"/>
              </w:rPr>
            </w:pPr>
            <w:r>
              <w:t>{4 dB, 7 dB}</w:t>
            </w:r>
          </w:p>
        </w:tc>
      </w:tr>
    </w:tbl>
    <w:p w:rsidR="0050752A" w:rsidRDefault="00C47F26">
      <w:pPr>
        <w:spacing w:before="240" w:after="240"/>
        <w:jc w:val="center"/>
      </w:pPr>
      <w:r>
        <w:rPr>
          <w:b/>
        </w:rPr>
        <w:t>Table 5. UE parameters for link budget computation</w:t>
      </w:r>
    </w:p>
    <w:p w:rsidR="0050752A" w:rsidRDefault="0050752A">
      <w:pPr>
        <w:spacing w:before="240" w:after="240"/>
      </w:pPr>
    </w:p>
    <w:tbl>
      <w:tblPr>
        <w:tblStyle w:val="afff3"/>
        <w:tblW w:w="765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00" w:firstRow="0" w:lastRow="0" w:firstColumn="0" w:lastColumn="0" w:noHBand="0" w:noVBand="1"/>
      </w:tblPr>
      <w:tblGrid>
        <w:gridCol w:w="1142"/>
        <w:gridCol w:w="3221"/>
        <w:gridCol w:w="3295"/>
      </w:tblGrid>
      <w:tr w:rsidR="0050752A" w:rsidTr="00256430">
        <w:trPr>
          <w:jc w:val="center"/>
        </w:trPr>
        <w:tc>
          <w:tcPr>
            <w:tcW w:w="4206" w:type="dxa"/>
            <w:gridSpan w:val="2"/>
            <w:shd w:val="clear" w:color="auto" w:fill="134F5C"/>
            <w:vAlign w:val="center"/>
          </w:tcPr>
          <w:p w:rsidR="0050752A" w:rsidRDefault="00C47F26">
            <w:pPr>
              <w:jc w:val="left"/>
              <w:rPr>
                <w:color w:val="FFFFFF"/>
                <w:sz w:val="24"/>
                <w:szCs w:val="24"/>
              </w:rPr>
            </w:pPr>
            <w:r>
              <w:rPr>
                <w:color w:val="FFFFFF"/>
              </w:rPr>
              <w:t>Elevation angle (α) (i.e. elevation at which the UE “sees” the satellite)</w:t>
            </w:r>
          </w:p>
        </w:tc>
        <w:tc>
          <w:tcPr>
            <w:tcW w:w="3452" w:type="dxa"/>
            <w:vAlign w:val="center"/>
          </w:tcPr>
          <w:p w:rsidR="0050752A" w:rsidRDefault="00C47F26">
            <w:pPr>
              <w:jc w:val="left"/>
              <w:rPr>
                <w:sz w:val="24"/>
                <w:szCs w:val="24"/>
              </w:rPr>
            </w:pPr>
            <w:r>
              <w:t>{30, 90} degrees</w:t>
            </w:r>
          </w:p>
        </w:tc>
      </w:tr>
      <w:tr w:rsidR="0050752A" w:rsidTr="00256430">
        <w:trPr>
          <w:jc w:val="center"/>
        </w:trPr>
        <w:tc>
          <w:tcPr>
            <w:tcW w:w="4206" w:type="dxa"/>
            <w:gridSpan w:val="2"/>
            <w:shd w:val="clear" w:color="auto" w:fill="134F5C"/>
            <w:vAlign w:val="center"/>
          </w:tcPr>
          <w:p w:rsidR="0050752A" w:rsidRDefault="00C47F26">
            <w:pPr>
              <w:widowControl w:val="0"/>
              <w:jc w:val="left"/>
              <w:rPr>
                <w:color w:val="FFFFFF"/>
              </w:rPr>
            </w:pPr>
            <w:r>
              <w:rPr>
                <w:color w:val="FFFFFF"/>
              </w:rPr>
              <w:t>Distance between UE and Satellite</w:t>
            </w:r>
          </w:p>
          <w:p w:rsidR="0050752A" w:rsidRDefault="00C47F26">
            <w:pPr>
              <w:jc w:val="left"/>
              <w:rPr>
                <w:color w:val="FFFFFF"/>
                <w:sz w:val="24"/>
                <w:szCs w:val="24"/>
              </w:rPr>
            </w:pPr>
            <w:r>
              <w:rPr>
                <w:color w:val="FFFFFF"/>
              </w:rPr>
              <w:t>(slant range)</w:t>
            </w:r>
          </w:p>
        </w:tc>
        <w:tc>
          <w:tcPr>
            <w:tcW w:w="3452" w:type="dxa"/>
            <w:vAlign w:val="center"/>
          </w:tcPr>
          <w:p w:rsidR="0050752A" w:rsidRDefault="00C47F26">
            <w:pPr>
              <w:widowControl w:val="0"/>
              <w:jc w:val="left"/>
            </w:pPr>
            <w:r>
              <w:t>1075.1 km for α=30 degrees</w:t>
            </w:r>
          </w:p>
          <w:p w:rsidR="0050752A" w:rsidRDefault="00C47F26">
            <w:pPr>
              <w:jc w:val="left"/>
              <w:rPr>
                <w:sz w:val="24"/>
                <w:szCs w:val="24"/>
              </w:rPr>
            </w:pPr>
            <w:r>
              <w:t>600 km for α=90 degrees</w:t>
            </w:r>
          </w:p>
        </w:tc>
      </w:tr>
      <w:tr w:rsidR="0050752A" w:rsidTr="00256430">
        <w:trPr>
          <w:jc w:val="center"/>
        </w:trPr>
        <w:tc>
          <w:tcPr>
            <w:tcW w:w="4206" w:type="dxa"/>
            <w:gridSpan w:val="2"/>
            <w:shd w:val="clear" w:color="auto" w:fill="134F5C"/>
            <w:vAlign w:val="center"/>
          </w:tcPr>
          <w:p w:rsidR="0050752A" w:rsidRDefault="00C47F26">
            <w:pPr>
              <w:jc w:val="left"/>
              <w:rPr>
                <w:color w:val="FFFFFF"/>
                <w:sz w:val="24"/>
                <w:szCs w:val="24"/>
              </w:rPr>
            </w:pPr>
            <w:r>
              <w:rPr>
                <w:color w:val="FFFFFF"/>
              </w:rPr>
              <w:t>Free space propagation loss</w:t>
            </w:r>
          </w:p>
        </w:tc>
        <w:tc>
          <w:tcPr>
            <w:tcW w:w="3452" w:type="dxa"/>
            <w:vAlign w:val="center"/>
          </w:tcPr>
          <w:p w:rsidR="0050752A" w:rsidRDefault="00C47F26">
            <w:pPr>
              <w:widowControl w:val="0"/>
              <w:jc w:val="left"/>
            </w:pPr>
            <w:r>
              <w:t>159.1 dB for α=30 degrees</w:t>
            </w:r>
          </w:p>
          <w:p w:rsidR="0050752A" w:rsidRDefault="00C47F26">
            <w:pPr>
              <w:jc w:val="left"/>
              <w:rPr>
                <w:sz w:val="24"/>
                <w:szCs w:val="24"/>
              </w:rPr>
            </w:pPr>
            <w:r>
              <w:t>154.0 dB for α=90 degrees</w:t>
            </w:r>
          </w:p>
        </w:tc>
      </w:tr>
      <w:tr w:rsidR="0050752A" w:rsidTr="00256430">
        <w:trPr>
          <w:jc w:val="center"/>
        </w:trPr>
        <w:tc>
          <w:tcPr>
            <w:tcW w:w="862" w:type="dxa"/>
            <w:vMerge w:val="restart"/>
            <w:shd w:val="clear" w:color="auto" w:fill="134F5C"/>
            <w:vAlign w:val="center"/>
          </w:tcPr>
          <w:p w:rsidR="0050752A" w:rsidRDefault="00C47F26">
            <w:pPr>
              <w:widowControl w:val="0"/>
              <w:pBdr>
                <w:top w:val="nil"/>
                <w:left w:val="nil"/>
                <w:bottom w:val="nil"/>
                <w:right w:val="nil"/>
                <w:between w:val="nil"/>
              </w:pBdr>
              <w:jc w:val="left"/>
              <w:rPr>
                <w:color w:val="FFFFFF"/>
              </w:rPr>
            </w:pPr>
            <w:r>
              <w:rPr>
                <w:color w:val="FFFFFF"/>
              </w:rPr>
              <w:t>Additional losses</w:t>
            </w:r>
          </w:p>
        </w:tc>
        <w:tc>
          <w:tcPr>
            <w:tcW w:w="3344" w:type="dxa"/>
            <w:shd w:val="clear" w:color="auto" w:fill="134F5C"/>
            <w:vAlign w:val="center"/>
          </w:tcPr>
          <w:p w:rsidR="0050752A" w:rsidRDefault="00C47F26">
            <w:pPr>
              <w:jc w:val="left"/>
              <w:rPr>
                <w:color w:val="FFFFFF"/>
                <w:sz w:val="24"/>
                <w:szCs w:val="24"/>
              </w:rPr>
            </w:pPr>
            <w:r>
              <w:rPr>
                <w:color w:val="FFFFFF"/>
              </w:rPr>
              <w:t>Polarization</w:t>
            </w:r>
          </w:p>
        </w:tc>
        <w:tc>
          <w:tcPr>
            <w:tcW w:w="3452" w:type="dxa"/>
            <w:vAlign w:val="center"/>
          </w:tcPr>
          <w:p w:rsidR="0050752A" w:rsidRDefault="00C47F26">
            <w:pPr>
              <w:jc w:val="left"/>
              <w:rPr>
                <w:sz w:val="24"/>
                <w:szCs w:val="24"/>
              </w:rPr>
            </w:pPr>
            <w:r>
              <w:t>3 dB</w:t>
            </w:r>
          </w:p>
        </w:tc>
      </w:tr>
      <w:tr w:rsidR="0050752A" w:rsidTr="00256430">
        <w:trPr>
          <w:jc w:val="center"/>
        </w:trPr>
        <w:tc>
          <w:tcPr>
            <w:tcW w:w="862" w:type="dxa"/>
            <w:vMerge/>
            <w:shd w:val="clear" w:color="auto" w:fill="134F5C"/>
            <w:vAlign w:val="center"/>
          </w:tcPr>
          <w:p w:rsidR="0050752A" w:rsidRDefault="0050752A">
            <w:pPr>
              <w:widowControl w:val="0"/>
              <w:pBdr>
                <w:top w:val="nil"/>
                <w:left w:val="nil"/>
                <w:bottom w:val="nil"/>
                <w:right w:val="nil"/>
                <w:between w:val="nil"/>
              </w:pBdr>
              <w:spacing w:line="276" w:lineRule="auto"/>
              <w:jc w:val="left"/>
              <w:rPr>
                <w:sz w:val="24"/>
                <w:szCs w:val="24"/>
              </w:rPr>
            </w:pPr>
          </w:p>
        </w:tc>
        <w:tc>
          <w:tcPr>
            <w:tcW w:w="3344" w:type="dxa"/>
            <w:shd w:val="clear" w:color="auto" w:fill="134F5C"/>
            <w:vAlign w:val="center"/>
          </w:tcPr>
          <w:p w:rsidR="0050752A" w:rsidRDefault="00C47F26">
            <w:pPr>
              <w:jc w:val="left"/>
              <w:rPr>
                <w:color w:val="FFFFFF"/>
                <w:sz w:val="24"/>
                <w:szCs w:val="24"/>
              </w:rPr>
            </w:pPr>
            <w:r>
              <w:rPr>
                <w:color w:val="FFFFFF"/>
              </w:rPr>
              <w:t>Scintillation</w:t>
            </w:r>
          </w:p>
        </w:tc>
        <w:tc>
          <w:tcPr>
            <w:tcW w:w="3452" w:type="dxa"/>
            <w:vAlign w:val="center"/>
          </w:tcPr>
          <w:p w:rsidR="0050752A" w:rsidRDefault="00C47F26">
            <w:pPr>
              <w:jc w:val="left"/>
              <w:rPr>
                <w:sz w:val="24"/>
                <w:szCs w:val="24"/>
              </w:rPr>
            </w:pPr>
            <w:r>
              <w:t>2.2 dB</w:t>
            </w:r>
          </w:p>
        </w:tc>
      </w:tr>
      <w:tr w:rsidR="0050752A" w:rsidTr="00256430">
        <w:trPr>
          <w:jc w:val="center"/>
        </w:trPr>
        <w:tc>
          <w:tcPr>
            <w:tcW w:w="862" w:type="dxa"/>
            <w:vMerge/>
            <w:shd w:val="clear" w:color="auto" w:fill="134F5C"/>
            <w:vAlign w:val="center"/>
          </w:tcPr>
          <w:p w:rsidR="0050752A" w:rsidRDefault="0050752A">
            <w:pPr>
              <w:widowControl w:val="0"/>
              <w:pBdr>
                <w:top w:val="nil"/>
                <w:left w:val="nil"/>
                <w:bottom w:val="nil"/>
                <w:right w:val="nil"/>
                <w:between w:val="nil"/>
              </w:pBdr>
              <w:spacing w:line="276" w:lineRule="auto"/>
              <w:jc w:val="left"/>
              <w:rPr>
                <w:sz w:val="24"/>
                <w:szCs w:val="24"/>
              </w:rPr>
            </w:pPr>
          </w:p>
        </w:tc>
        <w:tc>
          <w:tcPr>
            <w:tcW w:w="3344" w:type="dxa"/>
            <w:shd w:val="clear" w:color="auto" w:fill="134F5C"/>
            <w:vAlign w:val="center"/>
          </w:tcPr>
          <w:p w:rsidR="0050752A" w:rsidRDefault="00C47F26">
            <w:pPr>
              <w:jc w:val="left"/>
              <w:rPr>
                <w:color w:val="FFFFFF"/>
                <w:sz w:val="24"/>
                <w:szCs w:val="24"/>
              </w:rPr>
            </w:pPr>
            <w:r>
              <w:rPr>
                <w:color w:val="FFFFFF"/>
              </w:rPr>
              <w:t>Atmospheric absorption</w:t>
            </w:r>
          </w:p>
        </w:tc>
        <w:tc>
          <w:tcPr>
            <w:tcW w:w="3452" w:type="dxa"/>
            <w:vAlign w:val="center"/>
          </w:tcPr>
          <w:p w:rsidR="0050752A" w:rsidRDefault="00C47F26">
            <w:pPr>
              <w:jc w:val="left"/>
              <w:rPr>
                <w:sz w:val="24"/>
                <w:szCs w:val="24"/>
              </w:rPr>
            </w:pPr>
            <w:r>
              <w:t>0.1 dB</w:t>
            </w:r>
          </w:p>
        </w:tc>
      </w:tr>
      <w:tr w:rsidR="0050752A" w:rsidTr="00256430">
        <w:trPr>
          <w:jc w:val="center"/>
        </w:trPr>
        <w:tc>
          <w:tcPr>
            <w:tcW w:w="862" w:type="dxa"/>
            <w:vMerge/>
            <w:shd w:val="clear" w:color="auto" w:fill="134F5C"/>
            <w:vAlign w:val="center"/>
          </w:tcPr>
          <w:p w:rsidR="0050752A" w:rsidRDefault="0050752A">
            <w:pPr>
              <w:widowControl w:val="0"/>
              <w:pBdr>
                <w:top w:val="nil"/>
                <w:left w:val="nil"/>
                <w:bottom w:val="nil"/>
                <w:right w:val="nil"/>
                <w:between w:val="nil"/>
              </w:pBdr>
              <w:spacing w:line="276" w:lineRule="auto"/>
              <w:jc w:val="left"/>
              <w:rPr>
                <w:sz w:val="24"/>
                <w:szCs w:val="24"/>
              </w:rPr>
            </w:pPr>
          </w:p>
        </w:tc>
        <w:tc>
          <w:tcPr>
            <w:tcW w:w="3344" w:type="dxa"/>
            <w:shd w:val="clear" w:color="auto" w:fill="134F5C"/>
            <w:vAlign w:val="center"/>
          </w:tcPr>
          <w:p w:rsidR="0050752A" w:rsidRDefault="00C47F26">
            <w:pPr>
              <w:jc w:val="left"/>
              <w:rPr>
                <w:color w:val="FFFFFF"/>
                <w:sz w:val="24"/>
                <w:szCs w:val="24"/>
              </w:rPr>
            </w:pPr>
            <w:r>
              <w:rPr>
                <w:color w:val="FFFFFF"/>
              </w:rPr>
              <w:t>Antenna pointing mismatch (</w:t>
            </w:r>
            <w:proofErr w:type="spellStart"/>
            <w:r>
              <w:rPr>
                <w:color w:val="FFFFFF"/>
              </w:rPr>
              <w:t>L</w:t>
            </w:r>
            <w:r>
              <w:rPr>
                <w:color w:val="FFFFFF"/>
                <w:vertAlign w:val="subscript"/>
              </w:rPr>
              <w:t>apm</w:t>
            </w:r>
            <w:proofErr w:type="spellEnd"/>
            <w:r>
              <w:rPr>
                <w:color w:val="FFFFFF"/>
              </w:rPr>
              <w:t>)</w:t>
            </w:r>
          </w:p>
        </w:tc>
        <w:tc>
          <w:tcPr>
            <w:tcW w:w="3452" w:type="dxa"/>
            <w:vAlign w:val="center"/>
          </w:tcPr>
          <w:p w:rsidR="0050752A" w:rsidRDefault="00C47F26">
            <w:pPr>
              <w:jc w:val="left"/>
              <w:rPr>
                <w:sz w:val="24"/>
                <w:szCs w:val="24"/>
              </w:rPr>
            </w:pPr>
            <w:r>
              <w:t>{0, 3} dB</w:t>
            </w:r>
          </w:p>
        </w:tc>
      </w:tr>
      <w:tr w:rsidR="0050752A" w:rsidTr="00256430">
        <w:trPr>
          <w:jc w:val="center"/>
        </w:trPr>
        <w:tc>
          <w:tcPr>
            <w:tcW w:w="862" w:type="dxa"/>
            <w:vMerge/>
            <w:shd w:val="clear" w:color="auto" w:fill="134F5C"/>
            <w:vAlign w:val="center"/>
          </w:tcPr>
          <w:p w:rsidR="0050752A" w:rsidRDefault="0050752A">
            <w:pPr>
              <w:widowControl w:val="0"/>
              <w:pBdr>
                <w:top w:val="nil"/>
                <w:left w:val="nil"/>
                <w:bottom w:val="nil"/>
                <w:right w:val="nil"/>
                <w:between w:val="nil"/>
              </w:pBdr>
              <w:spacing w:line="276" w:lineRule="auto"/>
              <w:jc w:val="left"/>
              <w:rPr>
                <w:sz w:val="24"/>
                <w:szCs w:val="24"/>
              </w:rPr>
            </w:pPr>
          </w:p>
        </w:tc>
        <w:tc>
          <w:tcPr>
            <w:tcW w:w="3344" w:type="dxa"/>
            <w:shd w:val="clear" w:color="auto" w:fill="134F5C"/>
            <w:vAlign w:val="center"/>
          </w:tcPr>
          <w:p w:rsidR="0050752A" w:rsidRDefault="00C47F26">
            <w:pPr>
              <w:jc w:val="left"/>
              <w:rPr>
                <w:color w:val="FFFFFF"/>
                <w:sz w:val="24"/>
                <w:szCs w:val="24"/>
              </w:rPr>
            </w:pPr>
            <w:r>
              <w:rPr>
                <w:color w:val="FFFFFF"/>
              </w:rPr>
              <w:t>Shadowing</w:t>
            </w:r>
          </w:p>
        </w:tc>
        <w:tc>
          <w:tcPr>
            <w:tcW w:w="3452" w:type="dxa"/>
            <w:vAlign w:val="center"/>
          </w:tcPr>
          <w:p w:rsidR="0050752A" w:rsidRDefault="00C47F26">
            <w:pPr>
              <w:jc w:val="left"/>
              <w:rPr>
                <w:sz w:val="24"/>
                <w:szCs w:val="24"/>
              </w:rPr>
            </w:pPr>
            <w:r>
              <w:t>3 dB</w:t>
            </w:r>
          </w:p>
        </w:tc>
      </w:tr>
    </w:tbl>
    <w:p w:rsidR="0050752A" w:rsidRDefault="00C47F26">
      <w:pPr>
        <w:spacing w:before="240" w:after="240"/>
        <w:jc w:val="center"/>
      </w:pPr>
      <w:r>
        <w:rPr>
          <w:b/>
        </w:rPr>
        <w:t>Table 6. UE location and channel losses for link budget computation</w:t>
      </w:r>
    </w:p>
    <w:p w:rsidR="0050752A" w:rsidRDefault="0050752A">
      <w:pPr>
        <w:rPr>
          <w:sz w:val="24"/>
          <w:szCs w:val="24"/>
        </w:rPr>
      </w:pPr>
      <w:bookmarkStart w:id="10" w:name="_heading=h.26in1rg" w:colFirst="0" w:colLast="0"/>
      <w:bookmarkEnd w:id="10"/>
    </w:p>
    <w:p w:rsidR="0050752A" w:rsidRDefault="0050752A">
      <w:pPr>
        <w:rPr>
          <w:sz w:val="24"/>
          <w:szCs w:val="24"/>
        </w:rPr>
      </w:pPr>
    </w:p>
    <w:p w:rsidR="0050752A" w:rsidRDefault="0050752A">
      <w:pPr>
        <w:rPr>
          <w:sz w:val="24"/>
          <w:szCs w:val="24"/>
        </w:rPr>
      </w:pPr>
    </w:p>
    <w:p w:rsidR="0050752A" w:rsidRDefault="00C47F26">
      <w:r>
        <w:lastRenderedPageBreak/>
        <w:t xml:space="preserve">Table 7 provides the SNR ranges estimated for (1) DL SNR, (2) </w:t>
      </w:r>
      <w:r w:rsidR="00844517">
        <w:t xml:space="preserve">UL </w:t>
      </w:r>
      <w:bookmarkStart w:id="11" w:name="_GoBack"/>
      <w:bookmarkEnd w:id="11"/>
      <w:r>
        <w:t xml:space="preserve">SNR with 15kHz-single-tone configuration and (3) UL SNR with 3.75kHz-single-tone configuration. </w:t>
      </w:r>
    </w:p>
    <w:p w:rsidR="0050752A" w:rsidRDefault="0050752A"/>
    <w:tbl>
      <w:tblPr>
        <w:tblStyle w:val="afff4"/>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992"/>
        <w:gridCol w:w="1387"/>
        <w:gridCol w:w="1180"/>
        <w:gridCol w:w="1203"/>
        <w:gridCol w:w="1223"/>
        <w:gridCol w:w="1203"/>
        <w:gridCol w:w="1452"/>
      </w:tblGrid>
      <w:tr w:rsidR="0050752A">
        <w:tc>
          <w:tcPr>
            <w:tcW w:w="988" w:type="dxa"/>
            <w:vMerge w:val="restart"/>
            <w:shd w:val="clear" w:color="auto" w:fill="134F5C"/>
          </w:tcPr>
          <w:p w:rsidR="0050752A" w:rsidRDefault="00C47F26">
            <w:pPr>
              <w:rPr>
                <w:color w:val="FFFFFF"/>
              </w:rPr>
            </w:pPr>
            <w:r>
              <w:rPr>
                <w:color w:val="FFFFFF"/>
              </w:rPr>
              <w:t>Satellite Antenna Gain</w:t>
            </w:r>
          </w:p>
        </w:tc>
        <w:tc>
          <w:tcPr>
            <w:tcW w:w="992" w:type="dxa"/>
            <w:vMerge w:val="restart"/>
            <w:shd w:val="clear" w:color="auto" w:fill="134F5C"/>
          </w:tcPr>
          <w:p w:rsidR="0050752A" w:rsidRDefault="00C47F26">
            <w:pPr>
              <w:rPr>
                <w:color w:val="FFFFFF"/>
              </w:rPr>
            </w:pPr>
            <w:r>
              <w:rPr>
                <w:color w:val="FFFFFF"/>
              </w:rPr>
              <w:t xml:space="preserve">Satellite NF / </w:t>
            </w:r>
          </w:p>
          <w:p w:rsidR="0050752A" w:rsidRDefault="00C47F26">
            <w:pPr>
              <w:rPr>
                <w:color w:val="FFFFFF"/>
              </w:rPr>
            </w:pPr>
            <w:r>
              <w:rPr>
                <w:color w:val="FFFFFF"/>
              </w:rPr>
              <w:t>UE NF</w:t>
            </w:r>
          </w:p>
        </w:tc>
        <w:tc>
          <w:tcPr>
            <w:tcW w:w="2567" w:type="dxa"/>
            <w:gridSpan w:val="2"/>
            <w:shd w:val="clear" w:color="auto" w:fill="134F5C"/>
            <w:vAlign w:val="center"/>
          </w:tcPr>
          <w:p w:rsidR="0050752A" w:rsidRDefault="00C47F26">
            <w:pPr>
              <w:jc w:val="center"/>
              <w:rPr>
                <w:b/>
                <w:color w:val="FFFFFF"/>
              </w:rPr>
            </w:pPr>
            <w:r>
              <w:rPr>
                <w:b/>
                <w:color w:val="FFFFFF"/>
              </w:rPr>
              <w:t>DL SNR</w:t>
            </w:r>
          </w:p>
        </w:tc>
        <w:tc>
          <w:tcPr>
            <w:tcW w:w="2426" w:type="dxa"/>
            <w:gridSpan w:val="2"/>
            <w:shd w:val="clear" w:color="auto" w:fill="134F5C"/>
            <w:vAlign w:val="center"/>
          </w:tcPr>
          <w:p w:rsidR="0050752A" w:rsidRDefault="00C47F26">
            <w:pPr>
              <w:jc w:val="center"/>
              <w:rPr>
                <w:b/>
                <w:color w:val="FFFFFF"/>
              </w:rPr>
            </w:pPr>
            <w:r>
              <w:rPr>
                <w:b/>
                <w:color w:val="FFFFFF"/>
              </w:rPr>
              <w:t>UL SNR</w:t>
            </w:r>
          </w:p>
          <w:p w:rsidR="0050752A" w:rsidRDefault="00C47F26">
            <w:pPr>
              <w:jc w:val="center"/>
              <w:rPr>
                <w:b/>
                <w:color w:val="FFFFFF"/>
              </w:rPr>
            </w:pPr>
            <w:r>
              <w:rPr>
                <w:b/>
                <w:color w:val="FFFFFF"/>
              </w:rPr>
              <w:t>(ST 15 kHz)</w:t>
            </w:r>
          </w:p>
        </w:tc>
        <w:tc>
          <w:tcPr>
            <w:tcW w:w="2655" w:type="dxa"/>
            <w:gridSpan w:val="2"/>
            <w:shd w:val="clear" w:color="auto" w:fill="134F5C"/>
            <w:vAlign w:val="center"/>
          </w:tcPr>
          <w:p w:rsidR="0050752A" w:rsidRDefault="00C47F26">
            <w:pPr>
              <w:jc w:val="center"/>
              <w:rPr>
                <w:b/>
                <w:color w:val="FFFFFF"/>
              </w:rPr>
            </w:pPr>
            <w:r>
              <w:rPr>
                <w:b/>
                <w:color w:val="FFFFFF"/>
              </w:rPr>
              <w:t>UL SNR</w:t>
            </w:r>
          </w:p>
          <w:p w:rsidR="0050752A" w:rsidRDefault="00C47F26">
            <w:pPr>
              <w:jc w:val="center"/>
              <w:rPr>
                <w:b/>
                <w:color w:val="FFFFFF"/>
              </w:rPr>
            </w:pPr>
            <w:r>
              <w:rPr>
                <w:b/>
                <w:color w:val="FFFFFF"/>
              </w:rPr>
              <w:t>(ST 3.75 kHz)</w:t>
            </w:r>
          </w:p>
        </w:tc>
      </w:tr>
      <w:tr w:rsidR="0050752A">
        <w:tc>
          <w:tcPr>
            <w:tcW w:w="988" w:type="dxa"/>
            <w:vMerge/>
            <w:shd w:val="clear" w:color="auto" w:fill="134F5C"/>
          </w:tcPr>
          <w:p w:rsidR="0050752A" w:rsidRDefault="0050752A">
            <w:pPr>
              <w:widowControl w:val="0"/>
              <w:pBdr>
                <w:top w:val="nil"/>
                <w:left w:val="nil"/>
                <w:bottom w:val="nil"/>
                <w:right w:val="nil"/>
                <w:between w:val="nil"/>
              </w:pBdr>
              <w:spacing w:line="276" w:lineRule="auto"/>
              <w:jc w:val="left"/>
              <w:rPr>
                <w:b/>
                <w:color w:val="FFFFFF"/>
              </w:rPr>
            </w:pPr>
          </w:p>
        </w:tc>
        <w:tc>
          <w:tcPr>
            <w:tcW w:w="992" w:type="dxa"/>
            <w:vMerge/>
            <w:shd w:val="clear" w:color="auto" w:fill="134F5C"/>
          </w:tcPr>
          <w:p w:rsidR="0050752A" w:rsidRDefault="0050752A">
            <w:pPr>
              <w:widowControl w:val="0"/>
              <w:pBdr>
                <w:top w:val="nil"/>
                <w:left w:val="nil"/>
                <w:bottom w:val="nil"/>
                <w:right w:val="nil"/>
                <w:between w:val="nil"/>
              </w:pBdr>
              <w:spacing w:line="276" w:lineRule="auto"/>
              <w:jc w:val="left"/>
              <w:rPr>
                <w:b/>
                <w:color w:val="FFFFFF"/>
              </w:rPr>
            </w:pPr>
          </w:p>
        </w:tc>
        <w:tc>
          <w:tcPr>
            <w:tcW w:w="1387" w:type="dxa"/>
            <w:shd w:val="clear" w:color="auto" w:fill="20879C"/>
          </w:tcPr>
          <w:p w:rsidR="0050752A" w:rsidRDefault="00C47F26">
            <w:pPr>
              <w:rPr>
                <w:color w:val="FFFFFF"/>
                <w:sz w:val="20"/>
                <w:szCs w:val="20"/>
              </w:rPr>
            </w:pPr>
            <w:r>
              <w:rPr>
                <w:color w:val="FFFFFF"/>
                <w:sz w:val="20"/>
                <w:szCs w:val="20"/>
              </w:rPr>
              <w:t xml:space="preserve">Worst </w:t>
            </w:r>
          </w:p>
          <w:p w:rsidR="0050752A" w:rsidRDefault="00C47F26">
            <w:pPr>
              <w:rPr>
                <w:color w:val="FFFFFF"/>
                <w:sz w:val="20"/>
                <w:szCs w:val="20"/>
              </w:rPr>
            </w:pPr>
            <w:r>
              <w:rPr>
                <w:color w:val="FFFFFF"/>
                <w:sz w:val="20"/>
                <w:szCs w:val="20"/>
              </w:rPr>
              <w:t xml:space="preserve">location (α=30, </w:t>
            </w:r>
          </w:p>
          <w:p w:rsidR="0050752A" w:rsidRDefault="00C47F26">
            <w:pPr>
              <w:rPr>
                <w:color w:val="FFFFFF"/>
                <w:sz w:val="20"/>
                <w:szCs w:val="20"/>
              </w:rPr>
            </w:pPr>
            <w:proofErr w:type="spellStart"/>
            <w:r>
              <w:rPr>
                <w:color w:val="FFFFFF"/>
                <w:sz w:val="20"/>
                <w:szCs w:val="20"/>
              </w:rPr>
              <w:t>L</w:t>
            </w:r>
            <w:r>
              <w:rPr>
                <w:color w:val="FFFFFF"/>
                <w:sz w:val="20"/>
                <w:szCs w:val="20"/>
                <w:vertAlign w:val="subscript"/>
              </w:rPr>
              <w:t>apm</w:t>
            </w:r>
            <w:proofErr w:type="spellEnd"/>
            <w:r>
              <w:rPr>
                <w:color w:val="FFFFFF"/>
                <w:sz w:val="20"/>
                <w:szCs w:val="20"/>
              </w:rPr>
              <w:t xml:space="preserve">=3 dB} </w:t>
            </w:r>
          </w:p>
        </w:tc>
        <w:tc>
          <w:tcPr>
            <w:tcW w:w="1180" w:type="dxa"/>
            <w:shd w:val="clear" w:color="auto" w:fill="20879C"/>
          </w:tcPr>
          <w:p w:rsidR="0050752A" w:rsidRDefault="00C47F26">
            <w:pPr>
              <w:rPr>
                <w:color w:val="FFFFFF"/>
                <w:sz w:val="20"/>
                <w:szCs w:val="20"/>
              </w:rPr>
            </w:pPr>
            <w:r>
              <w:rPr>
                <w:color w:val="FFFFFF"/>
                <w:sz w:val="20"/>
                <w:szCs w:val="20"/>
              </w:rPr>
              <w:t xml:space="preserve">Best location (α=90, </w:t>
            </w:r>
          </w:p>
          <w:p w:rsidR="0050752A" w:rsidRDefault="00C47F26">
            <w:pPr>
              <w:rPr>
                <w:color w:val="FFFFFF"/>
                <w:sz w:val="20"/>
                <w:szCs w:val="20"/>
              </w:rPr>
            </w:pPr>
            <w:proofErr w:type="spellStart"/>
            <w:r>
              <w:rPr>
                <w:color w:val="FFFFFF"/>
                <w:sz w:val="20"/>
                <w:szCs w:val="20"/>
              </w:rPr>
              <w:t>L</w:t>
            </w:r>
            <w:r>
              <w:rPr>
                <w:color w:val="FFFFFF"/>
                <w:sz w:val="20"/>
                <w:szCs w:val="20"/>
                <w:vertAlign w:val="subscript"/>
              </w:rPr>
              <w:t>apm</w:t>
            </w:r>
            <w:proofErr w:type="spellEnd"/>
            <w:r>
              <w:rPr>
                <w:color w:val="FFFFFF"/>
                <w:sz w:val="20"/>
                <w:szCs w:val="20"/>
              </w:rPr>
              <w:t xml:space="preserve"> =0 dB}</w:t>
            </w:r>
          </w:p>
        </w:tc>
        <w:tc>
          <w:tcPr>
            <w:tcW w:w="1203" w:type="dxa"/>
            <w:shd w:val="clear" w:color="auto" w:fill="20879C"/>
          </w:tcPr>
          <w:p w:rsidR="0050752A" w:rsidRDefault="00C47F26">
            <w:pPr>
              <w:rPr>
                <w:color w:val="FFFFFF"/>
                <w:sz w:val="20"/>
                <w:szCs w:val="20"/>
              </w:rPr>
            </w:pPr>
            <w:r>
              <w:rPr>
                <w:color w:val="FFFFFF"/>
                <w:sz w:val="20"/>
                <w:szCs w:val="20"/>
              </w:rPr>
              <w:t xml:space="preserve">Worst location (α=30, </w:t>
            </w:r>
          </w:p>
          <w:p w:rsidR="0050752A" w:rsidRDefault="00C47F26">
            <w:pPr>
              <w:rPr>
                <w:color w:val="FFFFFF"/>
                <w:sz w:val="20"/>
                <w:szCs w:val="20"/>
              </w:rPr>
            </w:pPr>
            <w:proofErr w:type="spellStart"/>
            <w:r>
              <w:rPr>
                <w:color w:val="FFFFFF"/>
                <w:sz w:val="20"/>
                <w:szCs w:val="20"/>
              </w:rPr>
              <w:t>L</w:t>
            </w:r>
            <w:r>
              <w:rPr>
                <w:color w:val="FFFFFF"/>
                <w:sz w:val="20"/>
                <w:szCs w:val="20"/>
                <w:vertAlign w:val="subscript"/>
              </w:rPr>
              <w:t>apm</w:t>
            </w:r>
            <w:proofErr w:type="spellEnd"/>
            <w:r>
              <w:rPr>
                <w:color w:val="FFFFFF"/>
                <w:sz w:val="20"/>
                <w:szCs w:val="20"/>
              </w:rPr>
              <w:t xml:space="preserve"> =3 dB}</w:t>
            </w:r>
          </w:p>
        </w:tc>
        <w:tc>
          <w:tcPr>
            <w:tcW w:w="1223" w:type="dxa"/>
            <w:shd w:val="clear" w:color="auto" w:fill="20879C"/>
          </w:tcPr>
          <w:p w:rsidR="0050752A" w:rsidRDefault="00C47F26">
            <w:pPr>
              <w:rPr>
                <w:color w:val="FFFFFF"/>
                <w:sz w:val="20"/>
                <w:szCs w:val="20"/>
              </w:rPr>
            </w:pPr>
            <w:r>
              <w:rPr>
                <w:color w:val="FFFFFF"/>
                <w:sz w:val="20"/>
                <w:szCs w:val="20"/>
              </w:rPr>
              <w:t>Best location (α=90,</w:t>
            </w:r>
          </w:p>
          <w:p w:rsidR="0050752A" w:rsidRDefault="00C47F26">
            <w:pPr>
              <w:rPr>
                <w:color w:val="FFFFFF"/>
                <w:sz w:val="20"/>
                <w:szCs w:val="20"/>
              </w:rPr>
            </w:pPr>
            <w:proofErr w:type="spellStart"/>
            <w:r>
              <w:rPr>
                <w:color w:val="FFFFFF"/>
                <w:sz w:val="20"/>
                <w:szCs w:val="20"/>
              </w:rPr>
              <w:t>L</w:t>
            </w:r>
            <w:r>
              <w:rPr>
                <w:color w:val="FFFFFF"/>
                <w:sz w:val="20"/>
                <w:szCs w:val="20"/>
                <w:vertAlign w:val="subscript"/>
              </w:rPr>
              <w:t>apm</w:t>
            </w:r>
            <w:proofErr w:type="spellEnd"/>
            <w:r>
              <w:rPr>
                <w:color w:val="FFFFFF"/>
                <w:sz w:val="20"/>
                <w:szCs w:val="20"/>
              </w:rPr>
              <w:t xml:space="preserve"> =0 dB}</w:t>
            </w:r>
          </w:p>
        </w:tc>
        <w:tc>
          <w:tcPr>
            <w:tcW w:w="1203" w:type="dxa"/>
            <w:shd w:val="clear" w:color="auto" w:fill="20879C"/>
          </w:tcPr>
          <w:p w:rsidR="0050752A" w:rsidRDefault="00C47F26">
            <w:pPr>
              <w:rPr>
                <w:color w:val="FFFFFF"/>
                <w:sz w:val="20"/>
                <w:szCs w:val="20"/>
              </w:rPr>
            </w:pPr>
            <w:r>
              <w:rPr>
                <w:color w:val="FFFFFF"/>
                <w:sz w:val="20"/>
                <w:szCs w:val="20"/>
              </w:rPr>
              <w:t>Worst location (α=30,</w:t>
            </w:r>
          </w:p>
          <w:p w:rsidR="0050752A" w:rsidRDefault="00C47F26">
            <w:pPr>
              <w:rPr>
                <w:color w:val="FFFFFF"/>
                <w:sz w:val="20"/>
                <w:szCs w:val="20"/>
              </w:rPr>
            </w:pPr>
            <w:proofErr w:type="spellStart"/>
            <w:r>
              <w:rPr>
                <w:color w:val="FFFFFF"/>
                <w:sz w:val="20"/>
                <w:szCs w:val="20"/>
              </w:rPr>
              <w:t>L</w:t>
            </w:r>
            <w:r>
              <w:rPr>
                <w:color w:val="FFFFFF"/>
                <w:sz w:val="20"/>
                <w:szCs w:val="20"/>
                <w:vertAlign w:val="subscript"/>
              </w:rPr>
              <w:t>apm</w:t>
            </w:r>
            <w:proofErr w:type="spellEnd"/>
            <w:r>
              <w:rPr>
                <w:color w:val="FFFFFF"/>
                <w:sz w:val="20"/>
                <w:szCs w:val="20"/>
              </w:rPr>
              <w:t xml:space="preserve"> =3 dB}</w:t>
            </w:r>
          </w:p>
        </w:tc>
        <w:tc>
          <w:tcPr>
            <w:tcW w:w="1452" w:type="dxa"/>
            <w:shd w:val="clear" w:color="auto" w:fill="20879C"/>
          </w:tcPr>
          <w:p w:rsidR="0050752A" w:rsidRDefault="00C47F26">
            <w:pPr>
              <w:rPr>
                <w:color w:val="FFFFFF"/>
                <w:sz w:val="20"/>
                <w:szCs w:val="20"/>
              </w:rPr>
            </w:pPr>
            <w:r>
              <w:rPr>
                <w:color w:val="FFFFFF"/>
                <w:sz w:val="20"/>
                <w:szCs w:val="20"/>
              </w:rPr>
              <w:t xml:space="preserve">Best </w:t>
            </w:r>
          </w:p>
          <w:p w:rsidR="00730A30" w:rsidRDefault="00C47F26">
            <w:pPr>
              <w:rPr>
                <w:color w:val="FFFFFF"/>
                <w:sz w:val="20"/>
                <w:szCs w:val="20"/>
              </w:rPr>
            </w:pPr>
            <w:r>
              <w:rPr>
                <w:color w:val="FFFFFF"/>
                <w:sz w:val="20"/>
                <w:szCs w:val="20"/>
              </w:rPr>
              <w:t xml:space="preserve">location </w:t>
            </w:r>
          </w:p>
          <w:p w:rsidR="0050752A" w:rsidRDefault="00C47F26">
            <w:pPr>
              <w:rPr>
                <w:color w:val="FFFFFF"/>
                <w:sz w:val="20"/>
                <w:szCs w:val="20"/>
              </w:rPr>
            </w:pPr>
            <w:r>
              <w:rPr>
                <w:color w:val="FFFFFF"/>
                <w:sz w:val="20"/>
                <w:szCs w:val="20"/>
              </w:rPr>
              <w:t>(α=90,</w:t>
            </w:r>
          </w:p>
          <w:p w:rsidR="0050752A" w:rsidRDefault="00C47F26">
            <w:pPr>
              <w:rPr>
                <w:color w:val="FFFFFF"/>
                <w:sz w:val="20"/>
                <w:szCs w:val="20"/>
              </w:rPr>
            </w:pPr>
            <w:proofErr w:type="spellStart"/>
            <w:r>
              <w:rPr>
                <w:color w:val="FFFFFF"/>
                <w:sz w:val="20"/>
                <w:szCs w:val="20"/>
              </w:rPr>
              <w:t>L</w:t>
            </w:r>
            <w:r>
              <w:rPr>
                <w:color w:val="FFFFFF"/>
                <w:sz w:val="20"/>
                <w:szCs w:val="20"/>
                <w:vertAlign w:val="subscript"/>
              </w:rPr>
              <w:t>apm</w:t>
            </w:r>
            <w:proofErr w:type="spellEnd"/>
            <w:r>
              <w:rPr>
                <w:color w:val="FFFFFF"/>
                <w:sz w:val="20"/>
                <w:szCs w:val="20"/>
              </w:rPr>
              <w:t xml:space="preserve"> =0 dB}</w:t>
            </w:r>
          </w:p>
        </w:tc>
      </w:tr>
      <w:tr w:rsidR="0050752A" w:rsidTr="00E24742">
        <w:tc>
          <w:tcPr>
            <w:tcW w:w="988" w:type="dxa"/>
            <w:vMerge w:val="restart"/>
            <w:shd w:val="clear" w:color="auto" w:fill="20879C"/>
            <w:vAlign w:val="center"/>
          </w:tcPr>
          <w:p w:rsidR="0050752A" w:rsidRDefault="00C47F26">
            <w:pPr>
              <w:jc w:val="center"/>
              <w:rPr>
                <w:color w:val="FFFFFF"/>
              </w:rPr>
            </w:pPr>
            <w:r>
              <w:rPr>
                <w:color w:val="FFFFFF"/>
              </w:rPr>
              <w:t>7 dB</w:t>
            </w:r>
          </w:p>
        </w:tc>
        <w:tc>
          <w:tcPr>
            <w:tcW w:w="992" w:type="dxa"/>
            <w:shd w:val="clear" w:color="auto" w:fill="20879C"/>
            <w:vAlign w:val="center"/>
          </w:tcPr>
          <w:p w:rsidR="0050752A" w:rsidRPr="00730A30" w:rsidRDefault="00C47F26">
            <w:pPr>
              <w:jc w:val="center"/>
              <w:rPr>
                <w:color w:val="FFFFFF" w:themeColor="background1"/>
              </w:rPr>
            </w:pPr>
            <w:r w:rsidRPr="00730A30">
              <w:rPr>
                <w:color w:val="FFFFFF" w:themeColor="background1"/>
              </w:rPr>
              <w:t xml:space="preserve">5 dB / </w:t>
            </w:r>
          </w:p>
          <w:p w:rsidR="0050752A" w:rsidRPr="00730A30" w:rsidRDefault="00C47F26">
            <w:pPr>
              <w:jc w:val="center"/>
              <w:rPr>
                <w:color w:val="FFFFFF" w:themeColor="background1"/>
              </w:rPr>
            </w:pPr>
            <w:r w:rsidRPr="00730A30">
              <w:rPr>
                <w:color w:val="FFFFFF" w:themeColor="background1"/>
              </w:rPr>
              <w:t>7 dB</w:t>
            </w:r>
          </w:p>
        </w:tc>
        <w:tc>
          <w:tcPr>
            <w:tcW w:w="1387" w:type="dxa"/>
            <w:vAlign w:val="center"/>
          </w:tcPr>
          <w:p w:rsidR="0050752A" w:rsidRDefault="00C47F26">
            <w:pPr>
              <w:jc w:val="center"/>
            </w:pPr>
            <w:r>
              <w:t>-16.0 dB</w:t>
            </w:r>
          </w:p>
        </w:tc>
        <w:tc>
          <w:tcPr>
            <w:tcW w:w="1180" w:type="dxa"/>
            <w:vAlign w:val="center"/>
          </w:tcPr>
          <w:p w:rsidR="0050752A" w:rsidRDefault="00C47F26">
            <w:pPr>
              <w:jc w:val="center"/>
            </w:pPr>
            <w:r>
              <w:t>-7.9 dB</w:t>
            </w:r>
          </w:p>
        </w:tc>
        <w:tc>
          <w:tcPr>
            <w:tcW w:w="1203" w:type="dxa"/>
            <w:vAlign w:val="center"/>
          </w:tcPr>
          <w:p w:rsidR="0050752A" w:rsidRDefault="00C47F26">
            <w:pPr>
              <w:jc w:val="center"/>
            </w:pPr>
            <w:r>
              <w:t>-13.2 dB</w:t>
            </w:r>
          </w:p>
        </w:tc>
        <w:tc>
          <w:tcPr>
            <w:tcW w:w="1223" w:type="dxa"/>
            <w:vAlign w:val="center"/>
          </w:tcPr>
          <w:p w:rsidR="0050752A" w:rsidRDefault="00C47F26">
            <w:pPr>
              <w:jc w:val="center"/>
            </w:pPr>
            <w:r>
              <w:t>-8.1 dB</w:t>
            </w:r>
          </w:p>
        </w:tc>
        <w:tc>
          <w:tcPr>
            <w:tcW w:w="1203" w:type="dxa"/>
            <w:vAlign w:val="center"/>
          </w:tcPr>
          <w:p w:rsidR="0050752A" w:rsidRDefault="00C47F26">
            <w:pPr>
              <w:jc w:val="center"/>
            </w:pPr>
            <w:r>
              <w:t>-7.2 dB</w:t>
            </w:r>
          </w:p>
        </w:tc>
        <w:tc>
          <w:tcPr>
            <w:tcW w:w="1452" w:type="dxa"/>
            <w:vAlign w:val="center"/>
          </w:tcPr>
          <w:p w:rsidR="0050752A" w:rsidRDefault="00C47F26">
            <w:pPr>
              <w:jc w:val="center"/>
            </w:pPr>
            <w:r>
              <w:t>-2.1 dB</w:t>
            </w:r>
          </w:p>
        </w:tc>
      </w:tr>
      <w:tr w:rsidR="0050752A" w:rsidTr="00E24742">
        <w:tc>
          <w:tcPr>
            <w:tcW w:w="988" w:type="dxa"/>
            <w:vMerge/>
            <w:shd w:val="clear" w:color="auto" w:fill="20879C"/>
            <w:vAlign w:val="center"/>
          </w:tcPr>
          <w:p w:rsidR="0050752A" w:rsidRDefault="0050752A">
            <w:pPr>
              <w:widowControl w:val="0"/>
              <w:pBdr>
                <w:top w:val="nil"/>
                <w:left w:val="nil"/>
                <w:bottom w:val="nil"/>
                <w:right w:val="nil"/>
                <w:between w:val="nil"/>
              </w:pBdr>
              <w:spacing w:line="276" w:lineRule="auto"/>
              <w:jc w:val="left"/>
            </w:pPr>
          </w:p>
        </w:tc>
        <w:tc>
          <w:tcPr>
            <w:tcW w:w="992" w:type="dxa"/>
            <w:shd w:val="clear" w:color="auto" w:fill="20879C"/>
            <w:vAlign w:val="center"/>
          </w:tcPr>
          <w:p w:rsidR="0050752A" w:rsidRPr="00730A30" w:rsidRDefault="00C47F26">
            <w:pPr>
              <w:jc w:val="center"/>
              <w:rPr>
                <w:color w:val="FFFFFF" w:themeColor="background1"/>
              </w:rPr>
            </w:pPr>
            <w:r w:rsidRPr="00730A30">
              <w:rPr>
                <w:color w:val="FFFFFF" w:themeColor="background1"/>
              </w:rPr>
              <w:t>3 dB /</w:t>
            </w:r>
          </w:p>
          <w:p w:rsidR="0050752A" w:rsidRPr="00730A30" w:rsidRDefault="00C47F26">
            <w:pPr>
              <w:jc w:val="center"/>
              <w:rPr>
                <w:color w:val="FFFFFF" w:themeColor="background1"/>
              </w:rPr>
            </w:pPr>
            <w:r w:rsidRPr="00730A30">
              <w:rPr>
                <w:color w:val="FFFFFF" w:themeColor="background1"/>
              </w:rPr>
              <w:t>4 dB</w:t>
            </w:r>
          </w:p>
        </w:tc>
        <w:tc>
          <w:tcPr>
            <w:tcW w:w="1387" w:type="dxa"/>
            <w:vAlign w:val="center"/>
          </w:tcPr>
          <w:p w:rsidR="0050752A" w:rsidRDefault="00C47F26">
            <w:pPr>
              <w:jc w:val="center"/>
            </w:pPr>
            <w:r>
              <w:t>-13.0 dB</w:t>
            </w:r>
          </w:p>
        </w:tc>
        <w:tc>
          <w:tcPr>
            <w:tcW w:w="1180" w:type="dxa"/>
            <w:vAlign w:val="center"/>
          </w:tcPr>
          <w:p w:rsidR="0050752A" w:rsidRDefault="00C47F26">
            <w:pPr>
              <w:jc w:val="center"/>
            </w:pPr>
            <w:r>
              <w:t>-4.9 dB</w:t>
            </w:r>
          </w:p>
        </w:tc>
        <w:tc>
          <w:tcPr>
            <w:tcW w:w="1203" w:type="dxa"/>
            <w:vAlign w:val="center"/>
          </w:tcPr>
          <w:p w:rsidR="0050752A" w:rsidRDefault="00C47F26">
            <w:pPr>
              <w:jc w:val="center"/>
            </w:pPr>
            <w:r>
              <w:t>-11.2 dB</w:t>
            </w:r>
          </w:p>
        </w:tc>
        <w:tc>
          <w:tcPr>
            <w:tcW w:w="1223" w:type="dxa"/>
            <w:vAlign w:val="center"/>
          </w:tcPr>
          <w:p w:rsidR="0050752A" w:rsidRDefault="00C47F26">
            <w:pPr>
              <w:jc w:val="center"/>
            </w:pPr>
            <w:r>
              <w:t>-6.1 dB</w:t>
            </w:r>
          </w:p>
        </w:tc>
        <w:tc>
          <w:tcPr>
            <w:tcW w:w="1203" w:type="dxa"/>
            <w:vAlign w:val="center"/>
          </w:tcPr>
          <w:p w:rsidR="0050752A" w:rsidRDefault="00C47F26">
            <w:pPr>
              <w:jc w:val="center"/>
            </w:pPr>
            <w:r>
              <w:t>-5.2 dB</w:t>
            </w:r>
          </w:p>
        </w:tc>
        <w:tc>
          <w:tcPr>
            <w:tcW w:w="1452" w:type="dxa"/>
            <w:vAlign w:val="center"/>
          </w:tcPr>
          <w:p w:rsidR="0050752A" w:rsidRDefault="00C47F26">
            <w:pPr>
              <w:jc w:val="center"/>
            </w:pPr>
            <w:r>
              <w:t>-0.1 dB</w:t>
            </w:r>
          </w:p>
        </w:tc>
      </w:tr>
      <w:tr w:rsidR="0050752A" w:rsidTr="00E24742">
        <w:tc>
          <w:tcPr>
            <w:tcW w:w="988" w:type="dxa"/>
            <w:vMerge w:val="restart"/>
            <w:shd w:val="clear" w:color="auto" w:fill="20879C"/>
            <w:vAlign w:val="center"/>
          </w:tcPr>
          <w:p w:rsidR="0050752A" w:rsidRDefault="00C47F26">
            <w:pPr>
              <w:jc w:val="center"/>
              <w:rPr>
                <w:color w:val="FFFFFF"/>
              </w:rPr>
            </w:pPr>
            <w:r>
              <w:rPr>
                <w:color w:val="FFFFFF"/>
              </w:rPr>
              <w:t>11 dB</w:t>
            </w:r>
          </w:p>
        </w:tc>
        <w:tc>
          <w:tcPr>
            <w:tcW w:w="992" w:type="dxa"/>
            <w:shd w:val="clear" w:color="auto" w:fill="20879C"/>
            <w:vAlign w:val="center"/>
          </w:tcPr>
          <w:p w:rsidR="0050752A" w:rsidRPr="00730A30" w:rsidRDefault="00C47F26">
            <w:pPr>
              <w:jc w:val="center"/>
              <w:rPr>
                <w:color w:val="FFFFFF" w:themeColor="background1"/>
              </w:rPr>
            </w:pPr>
            <w:r w:rsidRPr="00730A30">
              <w:rPr>
                <w:color w:val="FFFFFF" w:themeColor="background1"/>
              </w:rPr>
              <w:t xml:space="preserve">5 dB / </w:t>
            </w:r>
          </w:p>
          <w:p w:rsidR="0050752A" w:rsidRPr="00730A30" w:rsidRDefault="00C47F26">
            <w:pPr>
              <w:jc w:val="center"/>
              <w:rPr>
                <w:color w:val="FFFFFF" w:themeColor="background1"/>
              </w:rPr>
            </w:pPr>
            <w:r w:rsidRPr="00730A30">
              <w:rPr>
                <w:color w:val="FFFFFF" w:themeColor="background1"/>
              </w:rPr>
              <w:t>7 dB</w:t>
            </w:r>
          </w:p>
        </w:tc>
        <w:tc>
          <w:tcPr>
            <w:tcW w:w="1387" w:type="dxa"/>
            <w:vAlign w:val="center"/>
          </w:tcPr>
          <w:p w:rsidR="0050752A" w:rsidRDefault="00C47F26">
            <w:pPr>
              <w:jc w:val="center"/>
            </w:pPr>
            <w:r>
              <w:t>-12.0 dB</w:t>
            </w:r>
          </w:p>
        </w:tc>
        <w:tc>
          <w:tcPr>
            <w:tcW w:w="1180" w:type="dxa"/>
            <w:vAlign w:val="center"/>
          </w:tcPr>
          <w:p w:rsidR="0050752A" w:rsidRDefault="00C47F26">
            <w:pPr>
              <w:jc w:val="center"/>
            </w:pPr>
            <w:r>
              <w:t>-3.9 dB</w:t>
            </w:r>
          </w:p>
        </w:tc>
        <w:tc>
          <w:tcPr>
            <w:tcW w:w="1203" w:type="dxa"/>
            <w:vAlign w:val="center"/>
          </w:tcPr>
          <w:p w:rsidR="0050752A" w:rsidRDefault="00C47F26">
            <w:pPr>
              <w:jc w:val="center"/>
            </w:pPr>
            <w:r>
              <w:t>-9.2 dB</w:t>
            </w:r>
          </w:p>
        </w:tc>
        <w:tc>
          <w:tcPr>
            <w:tcW w:w="1223" w:type="dxa"/>
            <w:vAlign w:val="center"/>
          </w:tcPr>
          <w:p w:rsidR="0050752A" w:rsidRDefault="00C47F26">
            <w:pPr>
              <w:jc w:val="center"/>
            </w:pPr>
            <w:r>
              <w:t>-1.1 dB</w:t>
            </w:r>
          </w:p>
        </w:tc>
        <w:tc>
          <w:tcPr>
            <w:tcW w:w="1203" w:type="dxa"/>
            <w:vAlign w:val="center"/>
          </w:tcPr>
          <w:p w:rsidR="0050752A" w:rsidRDefault="00C47F26">
            <w:pPr>
              <w:jc w:val="center"/>
            </w:pPr>
            <w:r>
              <w:t>-3.2 dB</w:t>
            </w:r>
          </w:p>
        </w:tc>
        <w:tc>
          <w:tcPr>
            <w:tcW w:w="1452" w:type="dxa"/>
            <w:vAlign w:val="center"/>
          </w:tcPr>
          <w:p w:rsidR="0050752A" w:rsidRDefault="00C47F26">
            <w:pPr>
              <w:jc w:val="center"/>
            </w:pPr>
            <w:r>
              <w:t>4.9 dB</w:t>
            </w:r>
          </w:p>
        </w:tc>
      </w:tr>
      <w:tr w:rsidR="0050752A" w:rsidTr="00E24742">
        <w:trPr>
          <w:trHeight w:val="594"/>
        </w:trPr>
        <w:tc>
          <w:tcPr>
            <w:tcW w:w="988" w:type="dxa"/>
            <w:vMerge/>
            <w:shd w:val="clear" w:color="auto" w:fill="20879C"/>
            <w:vAlign w:val="center"/>
          </w:tcPr>
          <w:p w:rsidR="0050752A" w:rsidRDefault="0050752A">
            <w:pPr>
              <w:widowControl w:val="0"/>
              <w:pBdr>
                <w:top w:val="nil"/>
                <w:left w:val="nil"/>
                <w:bottom w:val="nil"/>
                <w:right w:val="nil"/>
                <w:between w:val="nil"/>
              </w:pBdr>
              <w:spacing w:line="276" w:lineRule="auto"/>
              <w:jc w:val="left"/>
            </w:pPr>
          </w:p>
        </w:tc>
        <w:tc>
          <w:tcPr>
            <w:tcW w:w="992" w:type="dxa"/>
            <w:shd w:val="clear" w:color="auto" w:fill="20879C"/>
            <w:vAlign w:val="center"/>
          </w:tcPr>
          <w:p w:rsidR="0050752A" w:rsidRPr="00730A30" w:rsidRDefault="00C47F26">
            <w:pPr>
              <w:jc w:val="center"/>
              <w:rPr>
                <w:color w:val="FFFFFF" w:themeColor="background1"/>
              </w:rPr>
            </w:pPr>
            <w:r w:rsidRPr="00730A30">
              <w:rPr>
                <w:color w:val="FFFFFF" w:themeColor="background1"/>
              </w:rPr>
              <w:t>3 dB /</w:t>
            </w:r>
          </w:p>
          <w:p w:rsidR="0050752A" w:rsidRPr="00730A30" w:rsidRDefault="00C47F26">
            <w:pPr>
              <w:jc w:val="center"/>
              <w:rPr>
                <w:color w:val="FFFFFF" w:themeColor="background1"/>
              </w:rPr>
            </w:pPr>
            <w:r w:rsidRPr="00730A30">
              <w:rPr>
                <w:color w:val="FFFFFF" w:themeColor="background1"/>
              </w:rPr>
              <w:t>4 dB</w:t>
            </w:r>
          </w:p>
        </w:tc>
        <w:tc>
          <w:tcPr>
            <w:tcW w:w="1387" w:type="dxa"/>
            <w:vAlign w:val="center"/>
          </w:tcPr>
          <w:p w:rsidR="0050752A" w:rsidRDefault="00C47F26">
            <w:pPr>
              <w:jc w:val="center"/>
            </w:pPr>
            <w:r>
              <w:t>-9.0 dB</w:t>
            </w:r>
          </w:p>
        </w:tc>
        <w:tc>
          <w:tcPr>
            <w:tcW w:w="1180" w:type="dxa"/>
            <w:vAlign w:val="center"/>
          </w:tcPr>
          <w:p w:rsidR="0050752A" w:rsidRDefault="00C47F26">
            <w:pPr>
              <w:jc w:val="center"/>
            </w:pPr>
            <w:r>
              <w:t>-0.9 dB</w:t>
            </w:r>
          </w:p>
        </w:tc>
        <w:tc>
          <w:tcPr>
            <w:tcW w:w="1203" w:type="dxa"/>
            <w:vAlign w:val="center"/>
          </w:tcPr>
          <w:p w:rsidR="0050752A" w:rsidRDefault="00C47F26">
            <w:pPr>
              <w:jc w:val="center"/>
            </w:pPr>
            <w:r>
              <w:t>-7.2 dB</w:t>
            </w:r>
          </w:p>
        </w:tc>
        <w:tc>
          <w:tcPr>
            <w:tcW w:w="1223" w:type="dxa"/>
            <w:vAlign w:val="center"/>
          </w:tcPr>
          <w:p w:rsidR="0050752A" w:rsidRDefault="00C47F26">
            <w:pPr>
              <w:jc w:val="center"/>
            </w:pPr>
            <w:r>
              <w:t>0.9 dB</w:t>
            </w:r>
          </w:p>
        </w:tc>
        <w:tc>
          <w:tcPr>
            <w:tcW w:w="1203" w:type="dxa"/>
            <w:vAlign w:val="center"/>
          </w:tcPr>
          <w:p w:rsidR="0050752A" w:rsidRDefault="00C47F26">
            <w:pPr>
              <w:jc w:val="center"/>
            </w:pPr>
            <w:r>
              <w:t>-1.2 dB</w:t>
            </w:r>
          </w:p>
        </w:tc>
        <w:tc>
          <w:tcPr>
            <w:tcW w:w="1452" w:type="dxa"/>
            <w:vAlign w:val="center"/>
          </w:tcPr>
          <w:p w:rsidR="0050752A" w:rsidRDefault="00C47F26">
            <w:pPr>
              <w:jc w:val="center"/>
            </w:pPr>
            <w:r>
              <w:t>6.0 dB</w:t>
            </w:r>
          </w:p>
        </w:tc>
      </w:tr>
      <w:tr w:rsidR="0050752A" w:rsidTr="00E24742">
        <w:tc>
          <w:tcPr>
            <w:tcW w:w="988" w:type="dxa"/>
            <w:vMerge w:val="restart"/>
            <w:shd w:val="clear" w:color="auto" w:fill="20879C"/>
            <w:vAlign w:val="center"/>
          </w:tcPr>
          <w:p w:rsidR="0050752A" w:rsidRDefault="00C47F26">
            <w:pPr>
              <w:jc w:val="center"/>
              <w:rPr>
                <w:color w:val="FFFFFF"/>
              </w:rPr>
            </w:pPr>
            <w:r>
              <w:rPr>
                <w:color w:val="FFFFFF"/>
              </w:rPr>
              <w:t>15 dB</w:t>
            </w:r>
          </w:p>
        </w:tc>
        <w:tc>
          <w:tcPr>
            <w:tcW w:w="992" w:type="dxa"/>
            <w:shd w:val="clear" w:color="auto" w:fill="20879C"/>
            <w:vAlign w:val="center"/>
          </w:tcPr>
          <w:p w:rsidR="0050752A" w:rsidRPr="00730A30" w:rsidRDefault="00C47F26">
            <w:pPr>
              <w:jc w:val="center"/>
              <w:rPr>
                <w:color w:val="FFFFFF" w:themeColor="background1"/>
              </w:rPr>
            </w:pPr>
            <w:r w:rsidRPr="00730A30">
              <w:rPr>
                <w:color w:val="FFFFFF" w:themeColor="background1"/>
              </w:rPr>
              <w:t xml:space="preserve">5 dB / </w:t>
            </w:r>
          </w:p>
          <w:p w:rsidR="0050752A" w:rsidRPr="00730A30" w:rsidRDefault="00C47F26">
            <w:pPr>
              <w:jc w:val="center"/>
              <w:rPr>
                <w:color w:val="FFFFFF" w:themeColor="background1"/>
              </w:rPr>
            </w:pPr>
            <w:r w:rsidRPr="00730A30">
              <w:rPr>
                <w:color w:val="FFFFFF" w:themeColor="background1"/>
              </w:rPr>
              <w:t>7 dB</w:t>
            </w:r>
          </w:p>
        </w:tc>
        <w:tc>
          <w:tcPr>
            <w:tcW w:w="1387" w:type="dxa"/>
            <w:vAlign w:val="center"/>
          </w:tcPr>
          <w:p w:rsidR="0050752A" w:rsidRDefault="00C47F26">
            <w:pPr>
              <w:jc w:val="center"/>
            </w:pPr>
            <w:r>
              <w:t>-8.0 dB</w:t>
            </w:r>
          </w:p>
        </w:tc>
        <w:tc>
          <w:tcPr>
            <w:tcW w:w="1180" w:type="dxa"/>
            <w:vAlign w:val="center"/>
          </w:tcPr>
          <w:p w:rsidR="0050752A" w:rsidRDefault="00C47F26">
            <w:pPr>
              <w:jc w:val="center"/>
            </w:pPr>
            <w:r>
              <w:t>0.1 dB</w:t>
            </w:r>
          </w:p>
        </w:tc>
        <w:tc>
          <w:tcPr>
            <w:tcW w:w="1203" w:type="dxa"/>
            <w:vAlign w:val="center"/>
          </w:tcPr>
          <w:p w:rsidR="0050752A" w:rsidRDefault="00C47F26">
            <w:pPr>
              <w:jc w:val="center"/>
            </w:pPr>
            <w:r>
              <w:t>-5.2 dB</w:t>
            </w:r>
          </w:p>
        </w:tc>
        <w:tc>
          <w:tcPr>
            <w:tcW w:w="1223" w:type="dxa"/>
            <w:vAlign w:val="center"/>
          </w:tcPr>
          <w:p w:rsidR="0050752A" w:rsidRDefault="00C47F26">
            <w:pPr>
              <w:jc w:val="center"/>
            </w:pPr>
            <w:r>
              <w:t>2.9 dB</w:t>
            </w:r>
          </w:p>
        </w:tc>
        <w:tc>
          <w:tcPr>
            <w:tcW w:w="1203" w:type="dxa"/>
            <w:vAlign w:val="center"/>
          </w:tcPr>
          <w:p w:rsidR="0050752A" w:rsidRDefault="00C47F26">
            <w:pPr>
              <w:jc w:val="center"/>
            </w:pPr>
            <w:r>
              <w:t>1.2 dB</w:t>
            </w:r>
          </w:p>
        </w:tc>
        <w:tc>
          <w:tcPr>
            <w:tcW w:w="1452" w:type="dxa"/>
            <w:vAlign w:val="center"/>
          </w:tcPr>
          <w:p w:rsidR="0050752A" w:rsidRDefault="00C47F26">
            <w:pPr>
              <w:jc w:val="center"/>
            </w:pPr>
            <w:r>
              <w:t>8.9 dB</w:t>
            </w:r>
          </w:p>
        </w:tc>
      </w:tr>
      <w:tr w:rsidR="0050752A" w:rsidTr="00E24742">
        <w:trPr>
          <w:trHeight w:val="638"/>
        </w:trPr>
        <w:tc>
          <w:tcPr>
            <w:tcW w:w="988" w:type="dxa"/>
            <w:vMerge/>
            <w:shd w:val="clear" w:color="auto" w:fill="20879C"/>
            <w:vAlign w:val="center"/>
          </w:tcPr>
          <w:p w:rsidR="0050752A" w:rsidRDefault="0050752A">
            <w:pPr>
              <w:widowControl w:val="0"/>
              <w:pBdr>
                <w:top w:val="nil"/>
                <w:left w:val="nil"/>
                <w:bottom w:val="nil"/>
                <w:right w:val="nil"/>
                <w:between w:val="nil"/>
              </w:pBdr>
              <w:spacing w:line="276" w:lineRule="auto"/>
              <w:jc w:val="left"/>
            </w:pPr>
          </w:p>
        </w:tc>
        <w:tc>
          <w:tcPr>
            <w:tcW w:w="992" w:type="dxa"/>
            <w:shd w:val="clear" w:color="auto" w:fill="20879C"/>
            <w:vAlign w:val="center"/>
          </w:tcPr>
          <w:p w:rsidR="0050752A" w:rsidRPr="00730A30" w:rsidRDefault="00C47F26">
            <w:pPr>
              <w:jc w:val="center"/>
              <w:rPr>
                <w:color w:val="FFFFFF" w:themeColor="background1"/>
              </w:rPr>
            </w:pPr>
            <w:r w:rsidRPr="00730A30">
              <w:rPr>
                <w:color w:val="FFFFFF" w:themeColor="background1"/>
              </w:rPr>
              <w:t>3 dB /</w:t>
            </w:r>
          </w:p>
          <w:p w:rsidR="0050752A" w:rsidRPr="00730A30" w:rsidRDefault="00C47F26">
            <w:pPr>
              <w:jc w:val="center"/>
              <w:rPr>
                <w:color w:val="FFFFFF" w:themeColor="background1"/>
              </w:rPr>
            </w:pPr>
            <w:r w:rsidRPr="00730A30">
              <w:rPr>
                <w:color w:val="FFFFFF" w:themeColor="background1"/>
              </w:rPr>
              <w:t>4 dB</w:t>
            </w:r>
          </w:p>
        </w:tc>
        <w:tc>
          <w:tcPr>
            <w:tcW w:w="1387" w:type="dxa"/>
            <w:vAlign w:val="center"/>
          </w:tcPr>
          <w:p w:rsidR="0050752A" w:rsidRDefault="00C47F26">
            <w:pPr>
              <w:jc w:val="center"/>
            </w:pPr>
            <w:r>
              <w:t>-5.0 dB</w:t>
            </w:r>
          </w:p>
        </w:tc>
        <w:tc>
          <w:tcPr>
            <w:tcW w:w="1180" w:type="dxa"/>
            <w:vAlign w:val="center"/>
          </w:tcPr>
          <w:p w:rsidR="0050752A" w:rsidRDefault="00C47F26">
            <w:pPr>
              <w:jc w:val="center"/>
            </w:pPr>
            <w:r>
              <w:t>3.1 dB</w:t>
            </w:r>
          </w:p>
        </w:tc>
        <w:tc>
          <w:tcPr>
            <w:tcW w:w="1203" w:type="dxa"/>
            <w:vAlign w:val="center"/>
          </w:tcPr>
          <w:p w:rsidR="0050752A" w:rsidRDefault="00C47F26">
            <w:pPr>
              <w:jc w:val="center"/>
            </w:pPr>
            <w:r>
              <w:t>-3.2 dB</w:t>
            </w:r>
          </w:p>
        </w:tc>
        <w:tc>
          <w:tcPr>
            <w:tcW w:w="1223" w:type="dxa"/>
            <w:vAlign w:val="center"/>
          </w:tcPr>
          <w:p w:rsidR="0050752A" w:rsidRDefault="00C47F26">
            <w:pPr>
              <w:jc w:val="center"/>
            </w:pPr>
            <w:r>
              <w:t>4.9 dB</w:t>
            </w:r>
          </w:p>
        </w:tc>
        <w:tc>
          <w:tcPr>
            <w:tcW w:w="1203" w:type="dxa"/>
            <w:vAlign w:val="center"/>
          </w:tcPr>
          <w:p w:rsidR="0050752A" w:rsidRDefault="00C47F26">
            <w:pPr>
              <w:jc w:val="center"/>
            </w:pPr>
            <w:r>
              <w:t>2.8 dB</w:t>
            </w:r>
          </w:p>
        </w:tc>
        <w:tc>
          <w:tcPr>
            <w:tcW w:w="1452" w:type="dxa"/>
            <w:vAlign w:val="center"/>
          </w:tcPr>
          <w:p w:rsidR="0050752A" w:rsidRDefault="00C47F26">
            <w:pPr>
              <w:jc w:val="center"/>
            </w:pPr>
            <w:r>
              <w:t>10.9 dB</w:t>
            </w:r>
          </w:p>
        </w:tc>
      </w:tr>
    </w:tbl>
    <w:p w:rsidR="0050752A" w:rsidRDefault="00C47F26">
      <w:pPr>
        <w:spacing w:before="240" w:after="240"/>
        <w:jc w:val="center"/>
        <w:rPr>
          <w:b/>
        </w:rPr>
      </w:pPr>
      <w:r>
        <w:rPr>
          <w:b/>
        </w:rPr>
        <w:t>Table 7. Estimates for DL SNR and UL SNR</w:t>
      </w:r>
    </w:p>
    <w:p w:rsidR="0050752A" w:rsidRDefault="0050752A">
      <w:pPr>
        <w:rPr>
          <w:sz w:val="24"/>
          <w:szCs w:val="24"/>
        </w:rPr>
      </w:pPr>
    </w:p>
    <w:p w:rsidR="0050752A" w:rsidRDefault="00C47F26">
      <w:pPr>
        <w:rPr>
          <w:sz w:val="24"/>
          <w:szCs w:val="24"/>
        </w:rPr>
      </w:pPr>
      <w:r>
        <w:br w:type="page"/>
      </w:r>
    </w:p>
    <w:p w:rsidR="0050752A" w:rsidRDefault="00C47F26">
      <w:pPr>
        <w:pStyle w:val="Heading1"/>
        <w:rPr>
          <w:highlight w:val="yellow"/>
        </w:rPr>
      </w:pPr>
      <w:bookmarkStart w:id="12" w:name="_heading=h.17dp8vu" w:colFirst="0" w:colLast="0"/>
      <w:bookmarkEnd w:id="12"/>
      <w:r>
        <w:lastRenderedPageBreak/>
        <w:t>5. Protocol performance analysis</w:t>
      </w:r>
    </w:p>
    <w:p w:rsidR="0050752A" w:rsidRDefault="00C47F26">
      <w:pPr>
        <w:spacing w:before="240" w:after="240"/>
      </w:pPr>
      <w:r>
        <w:t xml:space="preserve">As an indication of the achievable downlink data rate in a cell, simulations have been made using an internal </w:t>
      </w:r>
      <w:proofErr w:type="spellStart"/>
      <w:r>
        <w:t>Matlab</w:t>
      </w:r>
      <w:proofErr w:type="spellEnd"/>
      <w:r>
        <w:t xml:space="preserve"> based NB-</w:t>
      </w:r>
      <w:proofErr w:type="spellStart"/>
      <w:r>
        <w:t>IoT</w:t>
      </w:r>
      <w:proofErr w:type="spellEnd"/>
      <w:r>
        <w:t xml:space="preserve"> test-bed. The simulated channel conditions are AWGN.</w:t>
      </w:r>
    </w:p>
    <w:p w:rsidR="0050752A" w:rsidRDefault="00C47F26">
      <w:pPr>
        <w:spacing w:before="240" w:after="240"/>
      </w:pPr>
      <w:r>
        <w:t>As a result, the achievable downlink data-rate (at &lt;=10% BLER) as function of SNR is presented in figure 2. For the simulation, a block size of 224 bits is transmitted using a selection of MCS (I</w:t>
      </w:r>
      <w:r>
        <w:rPr>
          <w:vertAlign w:val="subscript"/>
        </w:rPr>
        <w:t>TBS</w:t>
      </w:r>
      <w:r>
        <w:t xml:space="preserve">) and repetitions (chosen &lt;= 32). Higher repetitions count can of-course be used to extend range further at the cost of capacity. The graph indicates the total data rate capacity of the cell disregarding overhead. I.e. overhead for synchronization signals, broadcast etc. must be subtracted to obtain the effective cell capacity. Also re-transmissions should be accounted for (with BLER &lt;= 10%). For example, for SNR = -12 dB, data rates in the order of 1.4 kbps can be delivered, which would allow sending ~3 messages/second, i.e. +11000 messages /hour, when considering control channel overhead as high as 50%. </w:t>
      </w:r>
    </w:p>
    <w:p w:rsidR="0050752A" w:rsidRDefault="00C47F26">
      <w:pPr>
        <w:spacing w:before="240" w:after="240"/>
      </w:pPr>
      <w:r>
        <w:rPr>
          <w:noProof/>
          <w:lang w:eastAsia="en-US"/>
        </w:rPr>
        <w:drawing>
          <wp:inline distT="114300" distB="114300" distL="114300" distR="114300">
            <wp:extent cx="6119820" cy="4940300"/>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119820" cy="4940300"/>
                    </a:xfrm>
                    <a:prstGeom prst="rect">
                      <a:avLst/>
                    </a:prstGeom>
                    <a:ln/>
                  </pic:spPr>
                </pic:pic>
              </a:graphicData>
            </a:graphic>
          </wp:inline>
        </w:drawing>
      </w:r>
      <w:r>
        <w:t xml:space="preserve"> </w:t>
      </w:r>
    </w:p>
    <w:p w:rsidR="0050752A" w:rsidRDefault="00C47F26">
      <w:pPr>
        <w:spacing w:before="240" w:after="240"/>
        <w:rPr>
          <w:b/>
        </w:rPr>
      </w:pPr>
      <w:r>
        <w:rPr>
          <w:b/>
        </w:rPr>
        <w:t>Figure 2. Achievable cell-data rate (bps, Y-axis) as function of SNR (X-axis), sending 224 bit messages through AWGN channel.</w:t>
      </w:r>
    </w:p>
    <w:p w:rsidR="0050752A" w:rsidRDefault="0050752A">
      <w:pPr>
        <w:rPr>
          <w:highlight w:val="yellow"/>
        </w:rPr>
      </w:pPr>
    </w:p>
    <w:p w:rsidR="0050752A" w:rsidRDefault="0050752A">
      <w:pPr>
        <w:rPr>
          <w:highlight w:val="yellow"/>
        </w:rPr>
      </w:pPr>
    </w:p>
    <w:p w:rsidR="0050752A" w:rsidRDefault="00C47F26">
      <w:pPr>
        <w:pStyle w:val="Heading1"/>
      </w:pPr>
      <w:bookmarkStart w:id="13" w:name="_heading=h.3rdcrjn" w:colFirst="0" w:colLast="0"/>
      <w:bookmarkEnd w:id="13"/>
      <w:r>
        <w:lastRenderedPageBreak/>
        <w:t>6. Scenario parameters for small satellites / CubeSats scenarios</w:t>
      </w:r>
    </w:p>
    <w:p w:rsidR="0050752A" w:rsidRDefault="00C47F26">
      <w:pPr>
        <w:rPr>
          <w:sz w:val="24"/>
          <w:szCs w:val="24"/>
        </w:rPr>
      </w:pPr>
      <w:r>
        <w:rPr>
          <w:sz w:val="24"/>
          <w:szCs w:val="24"/>
        </w:rPr>
        <w:t xml:space="preserve">Table 8 shows the two sets of parameters that were defined for NR NTN studies (i.e. “set 1” and “set 2” specified in TR 38.821) and the two new sets of parameters (i.e. “set 3” and “set 4”) that were presented in RAN1#103-e meeting and captured as such in R1-2008868. </w:t>
      </w:r>
    </w:p>
    <w:p w:rsidR="0050752A" w:rsidRDefault="0050752A">
      <w:pPr>
        <w:rPr>
          <w:sz w:val="24"/>
          <w:szCs w:val="24"/>
        </w:rPr>
      </w:pPr>
    </w:p>
    <w:tbl>
      <w:tblPr>
        <w:tblStyle w:val="afff5"/>
        <w:tblW w:w="965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55"/>
        <w:gridCol w:w="1814"/>
        <w:gridCol w:w="1701"/>
        <w:gridCol w:w="1843"/>
        <w:gridCol w:w="2142"/>
      </w:tblGrid>
      <w:tr w:rsidR="0050752A" w:rsidTr="00E24742">
        <w:tc>
          <w:tcPr>
            <w:tcW w:w="2155" w:type="dxa"/>
            <w:tcBorders>
              <w:top w:val="nil"/>
              <w:left w:val="nil"/>
              <w:bottom w:val="single" w:sz="4" w:space="0" w:color="auto"/>
              <w:right w:val="single" w:sz="4" w:space="0" w:color="auto"/>
            </w:tcBorders>
            <w:shd w:val="clear" w:color="auto" w:fill="auto"/>
            <w:tcMar>
              <w:top w:w="100" w:type="dxa"/>
              <w:left w:w="100" w:type="dxa"/>
              <w:bottom w:w="100" w:type="dxa"/>
              <w:right w:w="100" w:type="dxa"/>
            </w:tcMar>
          </w:tcPr>
          <w:p w:rsidR="0050752A" w:rsidRDefault="0050752A">
            <w:pPr>
              <w:widowControl w:val="0"/>
              <w:jc w:val="left"/>
            </w:pPr>
          </w:p>
        </w:tc>
        <w:tc>
          <w:tcPr>
            <w:tcW w:w="1814" w:type="dxa"/>
            <w:tcBorders>
              <w:top w:val="single" w:sz="4" w:space="0" w:color="auto"/>
              <w:left w:val="single" w:sz="4" w:space="0" w:color="auto"/>
              <w:bottom w:val="single" w:sz="4" w:space="0" w:color="auto"/>
            </w:tcBorders>
            <w:shd w:val="clear" w:color="auto" w:fill="134F5C"/>
            <w:tcMar>
              <w:top w:w="100" w:type="dxa"/>
              <w:left w:w="100" w:type="dxa"/>
              <w:bottom w:w="100" w:type="dxa"/>
              <w:right w:w="100" w:type="dxa"/>
            </w:tcMar>
          </w:tcPr>
          <w:p w:rsidR="0050752A" w:rsidRDefault="00C47F26">
            <w:pPr>
              <w:widowControl w:val="0"/>
              <w:jc w:val="left"/>
              <w:rPr>
                <w:b/>
                <w:color w:val="FFFFFF"/>
              </w:rPr>
            </w:pPr>
            <w:r>
              <w:rPr>
                <w:b/>
                <w:color w:val="FFFFFF"/>
              </w:rPr>
              <w:t>“Set-1” in TR 38.821</w:t>
            </w:r>
          </w:p>
        </w:tc>
        <w:tc>
          <w:tcPr>
            <w:tcW w:w="1701" w:type="dxa"/>
            <w:tcBorders>
              <w:top w:val="single" w:sz="4" w:space="0" w:color="auto"/>
              <w:bottom w:val="single" w:sz="4" w:space="0" w:color="auto"/>
            </w:tcBorders>
            <w:shd w:val="clear" w:color="auto" w:fill="134F5C"/>
            <w:tcMar>
              <w:top w:w="100" w:type="dxa"/>
              <w:left w:w="100" w:type="dxa"/>
              <w:bottom w:w="100" w:type="dxa"/>
              <w:right w:w="100" w:type="dxa"/>
            </w:tcMar>
          </w:tcPr>
          <w:p w:rsidR="0050752A" w:rsidRDefault="00C47F26">
            <w:pPr>
              <w:widowControl w:val="0"/>
              <w:jc w:val="left"/>
              <w:rPr>
                <w:b/>
                <w:color w:val="FFFFFF"/>
              </w:rPr>
            </w:pPr>
            <w:r>
              <w:rPr>
                <w:b/>
                <w:color w:val="FFFFFF"/>
              </w:rPr>
              <w:t>“Set-2” in TR 38.821</w:t>
            </w:r>
          </w:p>
        </w:tc>
        <w:tc>
          <w:tcPr>
            <w:tcW w:w="1843" w:type="dxa"/>
            <w:tcBorders>
              <w:top w:val="single" w:sz="4" w:space="0" w:color="auto"/>
              <w:bottom w:val="single" w:sz="4" w:space="0" w:color="auto"/>
            </w:tcBorders>
            <w:shd w:val="clear" w:color="auto" w:fill="134F5C"/>
            <w:tcMar>
              <w:top w:w="100" w:type="dxa"/>
              <w:left w:w="100" w:type="dxa"/>
              <w:bottom w:w="100" w:type="dxa"/>
              <w:right w:w="100" w:type="dxa"/>
            </w:tcMar>
          </w:tcPr>
          <w:p w:rsidR="0050752A" w:rsidRDefault="00C47F26">
            <w:pPr>
              <w:widowControl w:val="0"/>
              <w:jc w:val="left"/>
              <w:rPr>
                <w:b/>
                <w:color w:val="FFFFFF"/>
              </w:rPr>
            </w:pPr>
            <w:r>
              <w:rPr>
                <w:b/>
                <w:color w:val="FFFFFF"/>
              </w:rPr>
              <w:t xml:space="preserve"> “Set 3” in R1-2008868</w:t>
            </w:r>
          </w:p>
        </w:tc>
        <w:tc>
          <w:tcPr>
            <w:tcW w:w="2142" w:type="dxa"/>
            <w:tcBorders>
              <w:top w:val="single" w:sz="4" w:space="0" w:color="auto"/>
              <w:bottom w:val="single" w:sz="4" w:space="0" w:color="auto"/>
              <w:right w:val="single" w:sz="4" w:space="0" w:color="auto"/>
            </w:tcBorders>
            <w:shd w:val="clear" w:color="auto" w:fill="134F5C"/>
            <w:tcMar>
              <w:top w:w="100" w:type="dxa"/>
              <w:left w:w="100" w:type="dxa"/>
              <w:bottom w:w="100" w:type="dxa"/>
              <w:right w:w="100" w:type="dxa"/>
            </w:tcMar>
          </w:tcPr>
          <w:p w:rsidR="0050752A" w:rsidRDefault="00C47F26">
            <w:pPr>
              <w:widowControl w:val="0"/>
              <w:jc w:val="left"/>
              <w:rPr>
                <w:b/>
                <w:color w:val="FFFFFF"/>
              </w:rPr>
            </w:pPr>
            <w:r>
              <w:rPr>
                <w:b/>
                <w:color w:val="FFFFFF"/>
              </w:rPr>
              <w:t xml:space="preserve">“Set-4” in R1-2008868 </w:t>
            </w:r>
          </w:p>
        </w:tc>
      </w:tr>
      <w:tr w:rsidR="0050752A" w:rsidTr="00E24742">
        <w:tc>
          <w:tcPr>
            <w:tcW w:w="2155" w:type="dxa"/>
            <w:tcBorders>
              <w:top w:val="single" w:sz="4" w:space="0" w:color="auto"/>
              <w:left w:val="single" w:sz="4" w:space="0" w:color="auto"/>
              <w:bottom w:val="single" w:sz="4" w:space="0" w:color="auto"/>
              <w:right w:val="single" w:sz="4" w:space="0" w:color="auto"/>
            </w:tcBorders>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Satellite orbit</w:t>
            </w:r>
          </w:p>
        </w:tc>
        <w:tc>
          <w:tcPr>
            <w:tcW w:w="1814" w:type="dxa"/>
            <w:tcBorders>
              <w:top w:val="single" w:sz="4" w:space="0" w:color="auto"/>
              <w:left w:val="single" w:sz="4" w:space="0" w:color="auto"/>
            </w:tcBorders>
            <w:shd w:val="clear" w:color="auto" w:fill="auto"/>
            <w:tcMar>
              <w:top w:w="100" w:type="dxa"/>
              <w:left w:w="100" w:type="dxa"/>
              <w:bottom w:w="100" w:type="dxa"/>
              <w:right w:w="100" w:type="dxa"/>
            </w:tcMar>
          </w:tcPr>
          <w:p w:rsidR="0050752A" w:rsidRDefault="00C47F26">
            <w:pPr>
              <w:widowControl w:val="0"/>
              <w:jc w:val="left"/>
            </w:pPr>
            <w:r>
              <w:t>LEO-600</w:t>
            </w:r>
          </w:p>
        </w:tc>
        <w:tc>
          <w:tcPr>
            <w:tcW w:w="1701" w:type="dxa"/>
            <w:tcBorders>
              <w:top w:val="single" w:sz="4" w:space="0" w:color="auto"/>
            </w:tcBorders>
            <w:shd w:val="clear" w:color="auto" w:fill="auto"/>
            <w:tcMar>
              <w:top w:w="100" w:type="dxa"/>
              <w:left w:w="100" w:type="dxa"/>
              <w:bottom w:w="100" w:type="dxa"/>
              <w:right w:w="100" w:type="dxa"/>
            </w:tcMar>
          </w:tcPr>
          <w:p w:rsidR="0050752A" w:rsidRDefault="00C47F26">
            <w:pPr>
              <w:widowControl w:val="0"/>
              <w:jc w:val="left"/>
            </w:pPr>
            <w:r>
              <w:t>LEO-600</w:t>
            </w:r>
          </w:p>
        </w:tc>
        <w:tc>
          <w:tcPr>
            <w:tcW w:w="1843" w:type="dxa"/>
            <w:tcBorders>
              <w:top w:val="single" w:sz="4" w:space="0" w:color="auto"/>
            </w:tcBorders>
            <w:shd w:val="clear" w:color="auto" w:fill="auto"/>
            <w:tcMar>
              <w:top w:w="100" w:type="dxa"/>
              <w:left w:w="100" w:type="dxa"/>
              <w:bottom w:w="100" w:type="dxa"/>
              <w:right w:w="100" w:type="dxa"/>
            </w:tcMar>
          </w:tcPr>
          <w:p w:rsidR="0050752A" w:rsidRDefault="00C47F26">
            <w:pPr>
              <w:widowControl w:val="0"/>
              <w:jc w:val="left"/>
            </w:pPr>
            <w:r>
              <w:t>LEO-600</w:t>
            </w:r>
          </w:p>
        </w:tc>
        <w:tc>
          <w:tcPr>
            <w:tcW w:w="2142" w:type="dxa"/>
            <w:tcBorders>
              <w:top w:val="single" w:sz="4" w:space="0" w:color="auto"/>
            </w:tcBorders>
            <w:shd w:val="clear" w:color="auto" w:fill="auto"/>
            <w:tcMar>
              <w:top w:w="100" w:type="dxa"/>
              <w:left w:w="100" w:type="dxa"/>
              <w:bottom w:w="100" w:type="dxa"/>
              <w:right w:w="100" w:type="dxa"/>
            </w:tcMar>
          </w:tcPr>
          <w:p w:rsidR="0050752A" w:rsidRDefault="00C47F26">
            <w:pPr>
              <w:widowControl w:val="0"/>
              <w:jc w:val="left"/>
            </w:pPr>
            <w:r>
              <w:t>LEO-600</w:t>
            </w:r>
          </w:p>
        </w:tc>
      </w:tr>
      <w:tr w:rsidR="0050752A" w:rsidTr="00E24742">
        <w:tc>
          <w:tcPr>
            <w:tcW w:w="2155" w:type="dxa"/>
            <w:tcBorders>
              <w:top w:val="single" w:sz="4" w:space="0" w:color="auto"/>
            </w:tcBorders>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Satellite altitude</w:t>
            </w:r>
          </w:p>
        </w:tc>
        <w:tc>
          <w:tcPr>
            <w:tcW w:w="1814" w:type="dxa"/>
            <w:shd w:val="clear" w:color="auto" w:fill="auto"/>
            <w:tcMar>
              <w:top w:w="100" w:type="dxa"/>
              <w:left w:w="100" w:type="dxa"/>
              <w:bottom w:w="100" w:type="dxa"/>
              <w:right w:w="100" w:type="dxa"/>
            </w:tcMar>
          </w:tcPr>
          <w:p w:rsidR="0050752A" w:rsidRDefault="00C47F26">
            <w:pPr>
              <w:widowControl w:val="0"/>
              <w:jc w:val="left"/>
            </w:pPr>
            <w:r>
              <w:t>600 km</w:t>
            </w:r>
          </w:p>
        </w:tc>
        <w:tc>
          <w:tcPr>
            <w:tcW w:w="1701" w:type="dxa"/>
            <w:shd w:val="clear" w:color="auto" w:fill="auto"/>
            <w:tcMar>
              <w:top w:w="100" w:type="dxa"/>
              <w:left w:w="100" w:type="dxa"/>
              <w:bottom w:w="100" w:type="dxa"/>
              <w:right w:w="100" w:type="dxa"/>
            </w:tcMar>
          </w:tcPr>
          <w:p w:rsidR="0050752A" w:rsidRDefault="00C47F26">
            <w:pPr>
              <w:widowControl w:val="0"/>
              <w:jc w:val="left"/>
            </w:pPr>
            <w:r>
              <w:t>600 km</w:t>
            </w:r>
          </w:p>
        </w:tc>
        <w:tc>
          <w:tcPr>
            <w:tcW w:w="1843" w:type="dxa"/>
            <w:shd w:val="clear" w:color="auto" w:fill="auto"/>
            <w:tcMar>
              <w:top w:w="100" w:type="dxa"/>
              <w:left w:w="100" w:type="dxa"/>
              <w:bottom w:w="100" w:type="dxa"/>
              <w:right w:w="100" w:type="dxa"/>
            </w:tcMar>
          </w:tcPr>
          <w:p w:rsidR="0050752A" w:rsidRDefault="00C47F26">
            <w:pPr>
              <w:widowControl w:val="0"/>
              <w:jc w:val="left"/>
            </w:pPr>
            <w:r>
              <w:t>600 km</w:t>
            </w:r>
          </w:p>
        </w:tc>
        <w:tc>
          <w:tcPr>
            <w:tcW w:w="2142" w:type="dxa"/>
            <w:shd w:val="clear" w:color="auto" w:fill="auto"/>
            <w:tcMar>
              <w:top w:w="100" w:type="dxa"/>
              <w:left w:w="100" w:type="dxa"/>
              <w:bottom w:w="100" w:type="dxa"/>
              <w:right w:w="100" w:type="dxa"/>
            </w:tcMar>
          </w:tcPr>
          <w:p w:rsidR="0050752A" w:rsidRDefault="00C47F26">
            <w:pPr>
              <w:widowControl w:val="0"/>
              <w:jc w:val="left"/>
            </w:pPr>
            <w:r>
              <w:t>600 km</w:t>
            </w:r>
          </w:p>
        </w:tc>
      </w:tr>
      <w:tr w:rsidR="0050752A">
        <w:trPr>
          <w:trHeight w:val="400"/>
        </w:trPr>
        <w:tc>
          <w:tcPr>
            <w:tcW w:w="9655" w:type="dxa"/>
            <w:gridSpan w:val="5"/>
            <w:shd w:val="clear" w:color="auto" w:fill="134F5C"/>
            <w:tcMar>
              <w:top w:w="100" w:type="dxa"/>
              <w:left w:w="100" w:type="dxa"/>
              <w:bottom w:w="100" w:type="dxa"/>
              <w:right w:w="100" w:type="dxa"/>
            </w:tcMar>
          </w:tcPr>
          <w:p w:rsidR="0050752A" w:rsidRDefault="00C47F26">
            <w:pPr>
              <w:widowControl w:val="0"/>
              <w:jc w:val="center"/>
            </w:pPr>
            <w:r>
              <w:rPr>
                <w:color w:val="FFFFFF"/>
              </w:rPr>
              <w:t>Payload characteristics for DL transmission</w:t>
            </w:r>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Frequency band</w:t>
            </w:r>
          </w:p>
        </w:tc>
        <w:tc>
          <w:tcPr>
            <w:tcW w:w="1814" w:type="dxa"/>
            <w:shd w:val="clear" w:color="auto" w:fill="auto"/>
            <w:tcMar>
              <w:top w:w="100" w:type="dxa"/>
              <w:left w:w="100" w:type="dxa"/>
              <w:bottom w:w="100" w:type="dxa"/>
              <w:right w:w="100" w:type="dxa"/>
            </w:tcMar>
          </w:tcPr>
          <w:p w:rsidR="0050752A" w:rsidRDefault="00C47F26">
            <w:pPr>
              <w:widowControl w:val="0"/>
              <w:jc w:val="left"/>
            </w:pPr>
            <w:r>
              <w:t>S-band (i.e. 2 GHz)</w:t>
            </w:r>
          </w:p>
        </w:tc>
        <w:tc>
          <w:tcPr>
            <w:tcW w:w="1701" w:type="dxa"/>
            <w:shd w:val="clear" w:color="auto" w:fill="auto"/>
            <w:tcMar>
              <w:top w:w="100" w:type="dxa"/>
              <w:left w:w="100" w:type="dxa"/>
              <w:bottom w:w="100" w:type="dxa"/>
              <w:right w:w="100" w:type="dxa"/>
            </w:tcMar>
          </w:tcPr>
          <w:p w:rsidR="0050752A" w:rsidRDefault="00C47F26">
            <w:pPr>
              <w:widowControl w:val="0"/>
              <w:jc w:val="left"/>
            </w:pPr>
            <w:r>
              <w:t>S-band (i.e. 2 GHz)</w:t>
            </w:r>
          </w:p>
        </w:tc>
        <w:tc>
          <w:tcPr>
            <w:tcW w:w="1843" w:type="dxa"/>
            <w:shd w:val="clear" w:color="auto" w:fill="auto"/>
            <w:tcMar>
              <w:top w:w="100" w:type="dxa"/>
              <w:left w:w="100" w:type="dxa"/>
              <w:bottom w:w="100" w:type="dxa"/>
              <w:right w:w="100" w:type="dxa"/>
            </w:tcMar>
          </w:tcPr>
          <w:p w:rsidR="0050752A" w:rsidRDefault="00C47F26">
            <w:pPr>
              <w:widowControl w:val="0"/>
              <w:jc w:val="left"/>
            </w:pPr>
            <w:r>
              <w:t>S-band (i.e. 2 GHz)</w:t>
            </w:r>
          </w:p>
        </w:tc>
        <w:tc>
          <w:tcPr>
            <w:tcW w:w="2142" w:type="dxa"/>
            <w:shd w:val="clear" w:color="auto" w:fill="auto"/>
            <w:tcMar>
              <w:top w:w="100" w:type="dxa"/>
              <w:left w:w="100" w:type="dxa"/>
              <w:bottom w:w="100" w:type="dxa"/>
              <w:right w:w="100" w:type="dxa"/>
            </w:tcMar>
          </w:tcPr>
          <w:p w:rsidR="0050752A" w:rsidRDefault="00C47F26">
            <w:pPr>
              <w:widowControl w:val="0"/>
              <w:jc w:val="left"/>
            </w:pPr>
            <w:r>
              <w:t>S-band (i.e. 2 GHz)</w:t>
            </w:r>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Equivalent satellite antenna aperture (NOTE1)</w:t>
            </w:r>
          </w:p>
        </w:tc>
        <w:tc>
          <w:tcPr>
            <w:tcW w:w="1814" w:type="dxa"/>
            <w:shd w:val="clear" w:color="auto" w:fill="auto"/>
            <w:tcMar>
              <w:top w:w="100" w:type="dxa"/>
              <w:left w:w="100" w:type="dxa"/>
              <w:bottom w:w="100" w:type="dxa"/>
              <w:right w:w="100" w:type="dxa"/>
            </w:tcMar>
          </w:tcPr>
          <w:p w:rsidR="0050752A" w:rsidRDefault="00C47F26">
            <w:pPr>
              <w:widowControl w:val="0"/>
              <w:jc w:val="left"/>
            </w:pPr>
            <w:r>
              <w:t>2 m</w:t>
            </w:r>
          </w:p>
        </w:tc>
        <w:tc>
          <w:tcPr>
            <w:tcW w:w="1701" w:type="dxa"/>
            <w:shd w:val="clear" w:color="auto" w:fill="auto"/>
            <w:tcMar>
              <w:top w:w="100" w:type="dxa"/>
              <w:left w:w="100" w:type="dxa"/>
              <w:bottom w:w="100" w:type="dxa"/>
              <w:right w:w="100" w:type="dxa"/>
            </w:tcMar>
          </w:tcPr>
          <w:p w:rsidR="0050752A" w:rsidRDefault="00C47F26">
            <w:pPr>
              <w:widowControl w:val="0"/>
              <w:jc w:val="left"/>
            </w:pPr>
            <w:r>
              <w:t>1 m</w:t>
            </w:r>
          </w:p>
        </w:tc>
        <w:tc>
          <w:tcPr>
            <w:tcW w:w="1843" w:type="dxa"/>
            <w:shd w:val="clear" w:color="auto" w:fill="auto"/>
            <w:tcMar>
              <w:top w:w="100" w:type="dxa"/>
              <w:left w:w="100" w:type="dxa"/>
              <w:bottom w:w="100" w:type="dxa"/>
              <w:right w:w="100" w:type="dxa"/>
            </w:tcMar>
          </w:tcPr>
          <w:p w:rsidR="0050752A" w:rsidRDefault="00C47F26">
            <w:pPr>
              <w:widowControl w:val="0"/>
              <w:jc w:val="left"/>
            </w:pPr>
            <w:r>
              <w:t>0.5 m</w:t>
            </w:r>
          </w:p>
        </w:tc>
        <w:tc>
          <w:tcPr>
            <w:tcW w:w="2142" w:type="dxa"/>
            <w:shd w:val="clear" w:color="auto" w:fill="auto"/>
            <w:tcMar>
              <w:top w:w="100" w:type="dxa"/>
              <w:left w:w="100" w:type="dxa"/>
              <w:bottom w:w="100" w:type="dxa"/>
              <w:right w:w="100" w:type="dxa"/>
            </w:tcMar>
          </w:tcPr>
          <w:p w:rsidR="0050752A" w:rsidRDefault="00C47F26">
            <w:pPr>
              <w:widowControl w:val="0"/>
              <w:jc w:val="left"/>
              <w:rPr>
                <w:color w:val="FF0000"/>
              </w:rPr>
            </w:pPr>
            <w:r>
              <w:t>NOTE 2</w:t>
            </w:r>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Satellite EIRP density</w:t>
            </w:r>
          </w:p>
        </w:tc>
        <w:tc>
          <w:tcPr>
            <w:tcW w:w="1814" w:type="dxa"/>
            <w:shd w:val="clear" w:color="auto" w:fill="auto"/>
            <w:tcMar>
              <w:top w:w="100" w:type="dxa"/>
              <w:left w:w="100" w:type="dxa"/>
              <w:bottom w:w="100" w:type="dxa"/>
              <w:right w:w="100" w:type="dxa"/>
            </w:tcMar>
          </w:tcPr>
          <w:p w:rsidR="0050752A" w:rsidRDefault="00C47F26">
            <w:pPr>
              <w:widowControl w:val="0"/>
              <w:jc w:val="left"/>
            </w:pPr>
            <w:r>
              <w:t xml:space="preserve">34 </w:t>
            </w:r>
            <w:proofErr w:type="spellStart"/>
            <w:r>
              <w:t>dBW</w:t>
            </w:r>
            <w:proofErr w:type="spellEnd"/>
            <w:r>
              <w:t xml:space="preserve"> / MHz</w:t>
            </w:r>
          </w:p>
        </w:tc>
        <w:tc>
          <w:tcPr>
            <w:tcW w:w="1701" w:type="dxa"/>
            <w:shd w:val="clear" w:color="auto" w:fill="auto"/>
            <w:tcMar>
              <w:top w:w="100" w:type="dxa"/>
              <w:left w:w="100" w:type="dxa"/>
              <w:bottom w:w="100" w:type="dxa"/>
              <w:right w:w="100" w:type="dxa"/>
            </w:tcMar>
          </w:tcPr>
          <w:p w:rsidR="0050752A" w:rsidRDefault="00C47F26">
            <w:pPr>
              <w:widowControl w:val="0"/>
              <w:jc w:val="left"/>
              <w:rPr>
                <w:b/>
              </w:rPr>
            </w:pPr>
            <w:r>
              <w:t xml:space="preserve">28 </w:t>
            </w:r>
            <w:proofErr w:type="spellStart"/>
            <w:r>
              <w:t>dBW</w:t>
            </w:r>
            <w:proofErr w:type="spellEnd"/>
            <w:r>
              <w:t xml:space="preserve"> / MHz</w:t>
            </w:r>
          </w:p>
        </w:tc>
        <w:tc>
          <w:tcPr>
            <w:tcW w:w="1843" w:type="dxa"/>
            <w:shd w:val="clear" w:color="auto" w:fill="auto"/>
            <w:tcMar>
              <w:top w:w="100" w:type="dxa"/>
              <w:left w:w="100" w:type="dxa"/>
              <w:bottom w:w="100" w:type="dxa"/>
              <w:right w:w="100" w:type="dxa"/>
            </w:tcMar>
          </w:tcPr>
          <w:p w:rsidR="0050752A" w:rsidRDefault="00C47F26">
            <w:pPr>
              <w:widowControl w:val="0"/>
              <w:jc w:val="left"/>
              <w:rPr>
                <w:b/>
              </w:rPr>
            </w:pPr>
            <w:r>
              <w:t xml:space="preserve">28.3 </w:t>
            </w:r>
            <w:proofErr w:type="spellStart"/>
            <w:r>
              <w:t>dBW</w:t>
            </w:r>
            <w:proofErr w:type="spellEnd"/>
            <w:r>
              <w:t xml:space="preserve"> / MHz</w:t>
            </w:r>
          </w:p>
        </w:tc>
        <w:tc>
          <w:tcPr>
            <w:tcW w:w="2142" w:type="dxa"/>
            <w:shd w:val="clear" w:color="auto" w:fill="auto"/>
            <w:tcMar>
              <w:top w:w="100" w:type="dxa"/>
              <w:left w:w="100" w:type="dxa"/>
              <w:bottom w:w="100" w:type="dxa"/>
              <w:right w:w="100" w:type="dxa"/>
            </w:tcMar>
          </w:tcPr>
          <w:p w:rsidR="0050752A" w:rsidRDefault="00C47F26">
            <w:pPr>
              <w:widowControl w:val="0"/>
              <w:jc w:val="left"/>
              <w:rPr>
                <w:b/>
              </w:rPr>
            </w:pPr>
            <w:r>
              <w:rPr>
                <w:b/>
              </w:rPr>
              <w:t xml:space="preserve">21.45 </w:t>
            </w:r>
            <w:proofErr w:type="spellStart"/>
            <w:r>
              <w:rPr>
                <w:b/>
              </w:rPr>
              <w:t>dBW</w:t>
            </w:r>
            <w:proofErr w:type="spellEnd"/>
            <w:r>
              <w:rPr>
                <w:b/>
              </w:rPr>
              <w:t>/MHz</w:t>
            </w:r>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Satellite Tx max Gain</w:t>
            </w:r>
          </w:p>
        </w:tc>
        <w:tc>
          <w:tcPr>
            <w:tcW w:w="1814" w:type="dxa"/>
            <w:shd w:val="clear" w:color="auto" w:fill="auto"/>
            <w:tcMar>
              <w:top w:w="100" w:type="dxa"/>
              <w:left w:w="100" w:type="dxa"/>
              <w:bottom w:w="100" w:type="dxa"/>
              <w:right w:w="100" w:type="dxa"/>
            </w:tcMar>
          </w:tcPr>
          <w:p w:rsidR="0050752A" w:rsidRDefault="00C47F26">
            <w:pPr>
              <w:widowControl w:val="0"/>
              <w:jc w:val="left"/>
            </w:pPr>
            <w:r>
              <w:t xml:space="preserve">30 </w:t>
            </w:r>
            <w:proofErr w:type="spellStart"/>
            <w:r>
              <w:t>dBi</w:t>
            </w:r>
            <w:proofErr w:type="spellEnd"/>
          </w:p>
        </w:tc>
        <w:tc>
          <w:tcPr>
            <w:tcW w:w="1701" w:type="dxa"/>
            <w:shd w:val="clear" w:color="auto" w:fill="auto"/>
            <w:tcMar>
              <w:top w:w="100" w:type="dxa"/>
              <w:left w:w="100" w:type="dxa"/>
              <w:bottom w:w="100" w:type="dxa"/>
              <w:right w:w="100" w:type="dxa"/>
            </w:tcMar>
          </w:tcPr>
          <w:p w:rsidR="0050752A" w:rsidRDefault="00C47F26">
            <w:pPr>
              <w:widowControl w:val="0"/>
              <w:jc w:val="left"/>
              <w:rPr>
                <w:b/>
              </w:rPr>
            </w:pPr>
            <w:r>
              <w:t xml:space="preserve">24 </w:t>
            </w:r>
            <w:proofErr w:type="spellStart"/>
            <w:r>
              <w:t>dBi</w:t>
            </w:r>
            <w:proofErr w:type="spellEnd"/>
          </w:p>
        </w:tc>
        <w:tc>
          <w:tcPr>
            <w:tcW w:w="1843" w:type="dxa"/>
            <w:shd w:val="clear" w:color="auto" w:fill="auto"/>
            <w:tcMar>
              <w:top w:w="100" w:type="dxa"/>
              <w:left w:w="100" w:type="dxa"/>
              <w:bottom w:w="100" w:type="dxa"/>
              <w:right w:w="100" w:type="dxa"/>
            </w:tcMar>
          </w:tcPr>
          <w:p w:rsidR="0050752A" w:rsidRDefault="00C47F26">
            <w:pPr>
              <w:widowControl w:val="0"/>
              <w:jc w:val="left"/>
            </w:pPr>
            <w:r>
              <w:t xml:space="preserve">16.2 </w:t>
            </w:r>
            <w:proofErr w:type="spellStart"/>
            <w:r>
              <w:t>dBi</w:t>
            </w:r>
            <w:proofErr w:type="spellEnd"/>
          </w:p>
        </w:tc>
        <w:tc>
          <w:tcPr>
            <w:tcW w:w="2142" w:type="dxa"/>
            <w:shd w:val="clear" w:color="auto" w:fill="auto"/>
            <w:tcMar>
              <w:top w:w="100" w:type="dxa"/>
              <w:left w:w="100" w:type="dxa"/>
              <w:bottom w:w="100" w:type="dxa"/>
              <w:right w:w="100" w:type="dxa"/>
            </w:tcMar>
          </w:tcPr>
          <w:p w:rsidR="0050752A" w:rsidRDefault="00C47F26">
            <w:pPr>
              <w:widowControl w:val="0"/>
              <w:jc w:val="left"/>
              <w:rPr>
                <w:b/>
              </w:rPr>
            </w:pPr>
            <w:r>
              <w:rPr>
                <w:b/>
              </w:rPr>
              <w:t xml:space="preserve">11 </w:t>
            </w:r>
            <w:proofErr w:type="spellStart"/>
            <w:r>
              <w:rPr>
                <w:b/>
              </w:rPr>
              <w:t>dBi</w:t>
            </w:r>
            <w:proofErr w:type="spellEnd"/>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 xml:space="preserve">3dB </w:t>
            </w:r>
            <w:proofErr w:type="spellStart"/>
            <w:r>
              <w:rPr>
                <w:color w:val="FFFFFF"/>
              </w:rPr>
              <w:t>beamwidth</w:t>
            </w:r>
            <w:proofErr w:type="spellEnd"/>
          </w:p>
        </w:tc>
        <w:tc>
          <w:tcPr>
            <w:tcW w:w="1814" w:type="dxa"/>
            <w:shd w:val="clear" w:color="auto" w:fill="auto"/>
            <w:tcMar>
              <w:top w:w="100" w:type="dxa"/>
              <w:left w:w="100" w:type="dxa"/>
              <w:bottom w:w="100" w:type="dxa"/>
              <w:right w:w="100" w:type="dxa"/>
            </w:tcMar>
          </w:tcPr>
          <w:p w:rsidR="0050752A" w:rsidRDefault="00C47F26">
            <w:pPr>
              <w:widowControl w:val="0"/>
              <w:jc w:val="left"/>
            </w:pPr>
            <w:r>
              <w:t>4.4127 deg</w:t>
            </w:r>
          </w:p>
        </w:tc>
        <w:tc>
          <w:tcPr>
            <w:tcW w:w="1701" w:type="dxa"/>
            <w:shd w:val="clear" w:color="auto" w:fill="auto"/>
            <w:tcMar>
              <w:top w:w="100" w:type="dxa"/>
              <w:left w:w="100" w:type="dxa"/>
              <w:bottom w:w="100" w:type="dxa"/>
              <w:right w:w="100" w:type="dxa"/>
            </w:tcMar>
          </w:tcPr>
          <w:p w:rsidR="0050752A" w:rsidRDefault="00C47F26">
            <w:pPr>
              <w:widowControl w:val="0"/>
              <w:jc w:val="left"/>
              <w:rPr>
                <w:b/>
              </w:rPr>
            </w:pPr>
            <w:r>
              <w:t>8.8320 deg</w:t>
            </w:r>
          </w:p>
        </w:tc>
        <w:tc>
          <w:tcPr>
            <w:tcW w:w="1843" w:type="dxa"/>
            <w:shd w:val="clear" w:color="auto" w:fill="auto"/>
            <w:tcMar>
              <w:top w:w="100" w:type="dxa"/>
              <w:left w:w="100" w:type="dxa"/>
              <w:bottom w:w="100" w:type="dxa"/>
              <w:right w:w="100" w:type="dxa"/>
            </w:tcMar>
          </w:tcPr>
          <w:p w:rsidR="0050752A" w:rsidRDefault="00C47F26">
            <w:pPr>
              <w:widowControl w:val="0"/>
              <w:jc w:val="left"/>
            </w:pPr>
            <w:r>
              <w:t>22.1 deg</w:t>
            </w:r>
          </w:p>
        </w:tc>
        <w:tc>
          <w:tcPr>
            <w:tcW w:w="2142" w:type="dxa"/>
            <w:shd w:val="clear" w:color="auto" w:fill="auto"/>
            <w:tcMar>
              <w:top w:w="100" w:type="dxa"/>
              <w:left w:w="100" w:type="dxa"/>
              <w:bottom w:w="100" w:type="dxa"/>
              <w:right w:w="100" w:type="dxa"/>
            </w:tcMar>
          </w:tcPr>
          <w:p w:rsidR="0050752A" w:rsidRDefault="00C47F26">
            <w:pPr>
              <w:widowControl w:val="0"/>
              <w:jc w:val="left"/>
              <w:rPr>
                <w:b/>
              </w:rPr>
            </w:pPr>
            <w:r>
              <w:rPr>
                <w:b/>
              </w:rPr>
              <w:t>60 deg</w:t>
            </w:r>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Satellite beam diameter (at nadir pointing)</w:t>
            </w:r>
          </w:p>
        </w:tc>
        <w:tc>
          <w:tcPr>
            <w:tcW w:w="1814" w:type="dxa"/>
            <w:shd w:val="clear" w:color="auto" w:fill="auto"/>
            <w:tcMar>
              <w:top w:w="100" w:type="dxa"/>
              <w:left w:w="100" w:type="dxa"/>
              <w:bottom w:w="100" w:type="dxa"/>
              <w:right w:w="100" w:type="dxa"/>
            </w:tcMar>
          </w:tcPr>
          <w:p w:rsidR="0050752A" w:rsidRDefault="00C47F26">
            <w:pPr>
              <w:widowControl w:val="0"/>
              <w:jc w:val="left"/>
            </w:pPr>
            <w:r>
              <w:t>20 km</w:t>
            </w:r>
          </w:p>
        </w:tc>
        <w:tc>
          <w:tcPr>
            <w:tcW w:w="1701" w:type="dxa"/>
            <w:shd w:val="clear" w:color="auto" w:fill="auto"/>
            <w:tcMar>
              <w:top w:w="100" w:type="dxa"/>
              <w:left w:w="100" w:type="dxa"/>
              <w:bottom w:w="100" w:type="dxa"/>
              <w:right w:w="100" w:type="dxa"/>
            </w:tcMar>
          </w:tcPr>
          <w:p w:rsidR="0050752A" w:rsidRDefault="00C47F26">
            <w:pPr>
              <w:widowControl w:val="0"/>
              <w:jc w:val="left"/>
              <w:rPr>
                <w:b/>
              </w:rPr>
            </w:pPr>
            <w:r>
              <w:t>90 km</w:t>
            </w:r>
          </w:p>
        </w:tc>
        <w:tc>
          <w:tcPr>
            <w:tcW w:w="1843" w:type="dxa"/>
            <w:shd w:val="clear" w:color="auto" w:fill="auto"/>
            <w:tcMar>
              <w:top w:w="100" w:type="dxa"/>
              <w:left w:w="100" w:type="dxa"/>
              <w:bottom w:w="100" w:type="dxa"/>
              <w:right w:w="100" w:type="dxa"/>
            </w:tcMar>
          </w:tcPr>
          <w:p w:rsidR="0050752A" w:rsidRDefault="00C47F26">
            <w:pPr>
              <w:widowControl w:val="0"/>
              <w:jc w:val="left"/>
            </w:pPr>
            <w:r>
              <w:t>234 km</w:t>
            </w:r>
          </w:p>
        </w:tc>
        <w:tc>
          <w:tcPr>
            <w:tcW w:w="2142" w:type="dxa"/>
            <w:shd w:val="clear" w:color="auto" w:fill="auto"/>
            <w:tcMar>
              <w:top w:w="100" w:type="dxa"/>
              <w:left w:w="100" w:type="dxa"/>
              <w:bottom w:w="100" w:type="dxa"/>
              <w:right w:w="100" w:type="dxa"/>
            </w:tcMar>
          </w:tcPr>
          <w:p w:rsidR="0050752A" w:rsidRDefault="00C47F26">
            <w:pPr>
              <w:widowControl w:val="0"/>
              <w:jc w:val="left"/>
              <w:rPr>
                <w:b/>
              </w:rPr>
            </w:pPr>
            <w:r>
              <w:rPr>
                <w:b/>
              </w:rPr>
              <w:t>700 km</w:t>
            </w:r>
          </w:p>
        </w:tc>
      </w:tr>
      <w:tr w:rsidR="0050752A">
        <w:trPr>
          <w:trHeight w:val="400"/>
        </w:trPr>
        <w:tc>
          <w:tcPr>
            <w:tcW w:w="9655" w:type="dxa"/>
            <w:gridSpan w:val="5"/>
            <w:shd w:val="clear" w:color="auto" w:fill="134F5C"/>
            <w:tcMar>
              <w:top w:w="100" w:type="dxa"/>
              <w:left w:w="100" w:type="dxa"/>
              <w:bottom w:w="100" w:type="dxa"/>
              <w:right w:w="100" w:type="dxa"/>
            </w:tcMar>
          </w:tcPr>
          <w:p w:rsidR="0050752A" w:rsidRDefault="00C47F26">
            <w:pPr>
              <w:widowControl w:val="0"/>
              <w:jc w:val="center"/>
            </w:pPr>
            <w:r>
              <w:rPr>
                <w:color w:val="FFFFFF"/>
              </w:rPr>
              <w:t>Payload characteristics for UL reception</w:t>
            </w:r>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Frequency band</w:t>
            </w:r>
          </w:p>
        </w:tc>
        <w:tc>
          <w:tcPr>
            <w:tcW w:w="1814" w:type="dxa"/>
            <w:shd w:val="clear" w:color="auto" w:fill="auto"/>
            <w:tcMar>
              <w:top w:w="100" w:type="dxa"/>
              <w:left w:w="100" w:type="dxa"/>
              <w:bottom w:w="100" w:type="dxa"/>
              <w:right w:w="100" w:type="dxa"/>
            </w:tcMar>
          </w:tcPr>
          <w:p w:rsidR="0050752A" w:rsidRDefault="00C47F26">
            <w:pPr>
              <w:widowControl w:val="0"/>
              <w:jc w:val="left"/>
            </w:pPr>
            <w:r>
              <w:t>S-band (i.e. 2 GHz)</w:t>
            </w:r>
          </w:p>
        </w:tc>
        <w:tc>
          <w:tcPr>
            <w:tcW w:w="1701" w:type="dxa"/>
            <w:shd w:val="clear" w:color="auto" w:fill="auto"/>
            <w:tcMar>
              <w:top w:w="100" w:type="dxa"/>
              <w:left w:w="100" w:type="dxa"/>
              <w:bottom w:w="100" w:type="dxa"/>
              <w:right w:w="100" w:type="dxa"/>
            </w:tcMar>
          </w:tcPr>
          <w:p w:rsidR="0050752A" w:rsidRDefault="00C47F26">
            <w:pPr>
              <w:widowControl w:val="0"/>
              <w:jc w:val="left"/>
            </w:pPr>
            <w:r>
              <w:t>S-band (i.e. 2 GHz)</w:t>
            </w:r>
          </w:p>
        </w:tc>
        <w:tc>
          <w:tcPr>
            <w:tcW w:w="1843" w:type="dxa"/>
            <w:shd w:val="clear" w:color="auto" w:fill="auto"/>
            <w:tcMar>
              <w:top w:w="100" w:type="dxa"/>
              <w:left w:w="100" w:type="dxa"/>
              <w:bottom w:w="100" w:type="dxa"/>
              <w:right w:w="100" w:type="dxa"/>
            </w:tcMar>
          </w:tcPr>
          <w:p w:rsidR="0050752A" w:rsidRDefault="00C47F26">
            <w:pPr>
              <w:widowControl w:val="0"/>
              <w:jc w:val="left"/>
            </w:pPr>
            <w:r>
              <w:t>S-band (i.e. 2 GHz)</w:t>
            </w:r>
          </w:p>
        </w:tc>
        <w:tc>
          <w:tcPr>
            <w:tcW w:w="2142" w:type="dxa"/>
            <w:shd w:val="clear" w:color="auto" w:fill="auto"/>
            <w:tcMar>
              <w:top w:w="100" w:type="dxa"/>
              <w:left w:w="100" w:type="dxa"/>
              <w:bottom w:w="100" w:type="dxa"/>
              <w:right w:w="100" w:type="dxa"/>
            </w:tcMar>
          </w:tcPr>
          <w:p w:rsidR="0050752A" w:rsidRDefault="00C47F26">
            <w:pPr>
              <w:widowControl w:val="0"/>
              <w:jc w:val="left"/>
            </w:pPr>
            <w:r>
              <w:t>S-band (i.e. 2 GHz)</w:t>
            </w:r>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Equivalent satellite antenna aperture (NOTE1)</w:t>
            </w:r>
          </w:p>
        </w:tc>
        <w:tc>
          <w:tcPr>
            <w:tcW w:w="1814" w:type="dxa"/>
            <w:shd w:val="clear" w:color="auto" w:fill="auto"/>
            <w:tcMar>
              <w:top w:w="100" w:type="dxa"/>
              <w:left w:w="100" w:type="dxa"/>
              <w:bottom w:w="100" w:type="dxa"/>
              <w:right w:w="100" w:type="dxa"/>
            </w:tcMar>
          </w:tcPr>
          <w:p w:rsidR="0050752A" w:rsidRDefault="00C47F26">
            <w:pPr>
              <w:widowControl w:val="0"/>
              <w:jc w:val="left"/>
            </w:pPr>
            <w:r>
              <w:t>2 m</w:t>
            </w:r>
          </w:p>
        </w:tc>
        <w:tc>
          <w:tcPr>
            <w:tcW w:w="1701" w:type="dxa"/>
            <w:tcMar>
              <w:top w:w="100" w:type="dxa"/>
              <w:left w:w="100" w:type="dxa"/>
              <w:bottom w:w="100" w:type="dxa"/>
              <w:right w:w="100" w:type="dxa"/>
            </w:tcMar>
          </w:tcPr>
          <w:p w:rsidR="0050752A" w:rsidRDefault="00C47F26">
            <w:pPr>
              <w:widowControl w:val="0"/>
              <w:jc w:val="left"/>
            </w:pPr>
            <w:r>
              <w:t>1 m</w:t>
            </w:r>
          </w:p>
        </w:tc>
        <w:tc>
          <w:tcPr>
            <w:tcW w:w="1843" w:type="dxa"/>
            <w:tcMar>
              <w:top w:w="100" w:type="dxa"/>
              <w:left w:w="100" w:type="dxa"/>
              <w:bottom w:w="100" w:type="dxa"/>
              <w:right w:w="100" w:type="dxa"/>
            </w:tcMar>
          </w:tcPr>
          <w:p w:rsidR="0050752A" w:rsidRDefault="00C47F26">
            <w:r>
              <w:t>0.5 m</w:t>
            </w:r>
          </w:p>
        </w:tc>
        <w:tc>
          <w:tcPr>
            <w:tcW w:w="2142" w:type="dxa"/>
            <w:tcMar>
              <w:top w:w="100" w:type="dxa"/>
              <w:left w:w="100" w:type="dxa"/>
              <w:bottom w:w="100" w:type="dxa"/>
              <w:right w:w="100" w:type="dxa"/>
            </w:tcMar>
          </w:tcPr>
          <w:p w:rsidR="0050752A" w:rsidRDefault="00C47F26">
            <w:pPr>
              <w:widowControl w:val="0"/>
              <w:jc w:val="left"/>
              <w:rPr>
                <w:b/>
              </w:rPr>
            </w:pPr>
            <w:r>
              <w:t>NOTE 2</w:t>
            </w:r>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G/T</w:t>
            </w:r>
          </w:p>
        </w:tc>
        <w:tc>
          <w:tcPr>
            <w:tcW w:w="1814" w:type="dxa"/>
            <w:shd w:val="clear" w:color="auto" w:fill="auto"/>
            <w:tcMar>
              <w:top w:w="100" w:type="dxa"/>
              <w:left w:w="100" w:type="dxa"/>
              <w:bottom w:w="100" w:type="dxa"/>
              <w:right w:w="100" w:type="dxa"/>
            </w:tcMar>
          </w:tcPr>
          <w:p w:rsidR="0050752A" w:rsidRDefault="00C47F26">
            <w:pPr>
              <w:widowControl w:val="0"/>
              <w:jc w:val="left"/>
              <w:rPr>
                <w:vertAlign w:val="superscript"/>
              </w:rPr>
            </w:pPr>
            <w:r>
              <w:t>1.1 dB·K</w:t>
            </w:r>
            <w:r>
              <w:rPr>
                <w:vertAlign w:val="superscript"/>
              </w:rPr>
              <w:t>-1</w:t>
            </w:r>
          </w:p>
        </w:tc>
        <w:tc>
          <w:tcPr>
            <w:tcW w:w="1701" w:type="dxa"/>
            <w:tcMar>
              <w:top w:w="100" w:type="dxa"/>
              <w:left w:w="100" w:type="dxa"/>
              <w:bottom w:w="100" w:type="dxa"/>
              <w:right w:w="100" w:type="dxa"/>
            </w:tcMar>
          </w:tcPr>
          <w:p w:rsidR="0050752A" w:rsidRDefault="00C47F26">
            <w:pPr>
              <w:widowControl w:val="0"/>
              <w:jc w:val="left"/>
              <w:rPr>
                <w:b/>
                <w:vertAlign w:val="superscript"/>
              </w:rPr>
            </w:pPr>
            <w:r>
              <w:t>-4.9 dB·K</w:t>
            </w:r>
            <w:r>
              <w:rPr>
                <w:vertAlign w:val="superscript"/>
              </w:rPr>
              <w:t>-1</w:t>
            </w:r>
          </w:p>
        </w:tc>
        <w:tc>
          <w:tcPr>
            <w:tcW w:w="1843" w:type="dxa"/>
            <w:tcMar>
              <w:top w:w="100" w:type="dxa"/>
              <w:left w:w="100" w:type="dxa"/>
              <w:bottom w:w="100" w:type="dxa"/>
              <w:right w:w="100" w:type="dxa"/>
            </w:tcMar>
          </w:tcPr>
          <w:p w:rsidR="0050752A" w:rsidRDefault="00C47F26">
            <w:pPr>
              <w:widowControl w:val="0"/>
              <w:jc w:val="left"/>
              <w:rPr>
                <w:b/>
              </w:rPr>
            </w:pPr>
            <w:r>
              <w:t>-12.8 dB·K</w:t>
            </w:r>
            <w:r>
              <w:rPr>
                <w:vertAlign w:val="superscript"/>
              </w:rPr>
              <w:t>-1</w:t>
            </w:r>
          </w:p>
        </w:tc>
        <w:tc>
          <w:tcPr>
            <w:tcW w:w="2142" w:type="dxa"/>
            <w:tcMar>
              <w:top w:w="100" w:type="dxa"/>
              <w:left w:w="100" w:type="dxa"/>
              <w:bottom w:w="100" w:type="dxa"/>
              <w:right w:w="100" w:type="dxa"/>
            </w:tcMar>
          </w:tcPr>
          <w:p w:rsidR="0050752A" w:rsidRDefault="00C47F26">
            <w:pPr>
              <w:rPr>
                <w:b/>
              </w:rPr>
            </w:pPr>
            <w:r>
              <w:rPr>
                <w:b/>
              </w:rPr>
              <w:t>- 17.9 dB·K</w:t>
            </w:r>
            <w:r>
              <w:rPr>
                <w:b/>
                <w:vertAlign w:val="superscript"/>
              </w:rPr>
              <w:t>-1</w:t>
            </w:r>
          </w:p>
        </w:tc>
      </w:tr>
      <w:tr w:rsidR="0050752A" w:rsidTr="00E24742">
        <w:tc>
          <w:tcPr>
            <w:tcW w:w="2155" w:type="dxa"/>
            <w:shd w:val="clear" w:color="auto" w:fill="134F5C"/>
            <w:tcMar>
              <w:top w:w="100" w:type="dxa"/>
              <w:left w:w="100" w:type="dxa"/>
              <w:bottom w:w="100" w:type="dxa"/>
              <w:right w:w="100" w:type="dxa"/>
            </w:tcMar>
          </w:tcPr>
          <w:p w:rsidR="0050752A" w:rsidRDefault="00C47F26">
            <w:pPr>
              <w:widowControl w:val="0"/>
              <w:jc w:val="left"/>
              <w:rPr>
                <w:color w:val="FFFFFF"/>
              </w:rPr>
            </w:pPr>
            <w:r>
              <w:rPr>
                <w:color w:val="FFFFFF"/>
              </w:rPr>
              <w:t>Satellite Rx max Gain</w:t>
            </w:r>
          </w:p>
        </w:tc>
        <w:tc>
          <w:tcPr>
            <w:tcW w:w="1814" w:type="dxa"/>
            <w:shd w:val="clear" w:color="auto" w:fill="auto"/>
            <w:tcMar>
              <w:top w:w="100" w:type="dxa"/>
              <w:left w:w="100" w:type="dxa"/>
              <w:bottom w:w="100" w:type="dxa"/>
              <w:right w:w="100" w:type="dxa"/>
            </w:tcMar>
          </w:tcPr>
          <w:p w:rsidR="0050752A" w:rsidRDefault="00C47F26">
            <w:pPr>
              <w:widowControl w:val="0"/>
              <w:jc w:val="left"/>
            </w:pPr>
            <w:r>
              <w:t xml:space="preserve">30 </w:t>
            </w:r>
            <w:proofErr w:type="spellStart"/>
            <w:r>
              <w:t>dBi</w:t>
            </w:r>
            <w:proofErr w:type="spellEnd"/>
          </w:p>
        </w:tc>
        <w:tc>
          <w:tcPr>
            <w:tcW w:w="1701" w:type="dxa"/>
            <w:shd w:val="clear" w:color="auto" w:fill="auto"/>
            <w:tcMar>
              <w:top w:w="100" w:type="dxa"/>
              <w:left w:w="100" w:type="dxa"/>
              <w:bottom w:w="100" w:type="dxa"/>
              <w:right w:w="100" w:type="dxa"/>
            </w:tcMar>
          </w:tcPr>
          <w:p w:rsidR="0050752A" w:rsidRDefault="00C47F26">
            <w:pPr>
              <w:widowControl w:val="0"/>
              <w:jc w:val="left"/>
              <w:rPr>
                <w:b/>
              </w:rPr>
            </w:pPr>
            <w:r>
              <w:t xml:space="preserve">24 </w:t>
            </w:r>
            <w:proofErr w:type="spellStart"/>
            <w:r>
              <w:t>dBi</w:t>
            </w:r>
            <w:proofErr w:type="spellEnd"/>
          </w:p>
        </w:tc>
        <w:tc>
          <w:tcPr>
            <w:tcW w:w="1843" w:type="dxa"/>
            <w:shd w:val="clear" w:color="auto" w:fill="auto"/>
            <w:tcMar>
              <w:top w:w="100" w:type="dxa"/>
              <w:left w:w="100" w:type="dxa"/>
              <w:bottom w:w="100" w:type="dxa"/>
              <w:right w:w="100" w:type="dxa"/>
            </w:tcMar>
          </w:tcPr>
          <w:p w:rsidR="0050752A" w:rsidRDefault="00C47F26">
            <w:pPr>
              <w:widowControl w:val="0"/>
              <w:jc w:val="left"/>
            </w:pPr>
            <w:r>
              <w:t xml:space="preserve">16.2 </w:t>
            </w:r>
            <w:proofErr w:type="spellStart"/>
            <w:r>
              <w:t>dBi</w:t>
            </w:r>
            <w:proofErr w:type="spellEnd"/>
          </w:p>
        </w:tc>
        <w:tc>
          <w:tcPr>
            <w:tcW w:w="2142" w:type="dxa"/>
            <w:shd w:val="clear" w:color="auto" w:fill="auto"/>
            <w:tcMar>
              <w:top w:w="100" w:type="dxa"/>
              <w:left w:w="100" w:type="dxa"/>
              <w:bottom w:w="100" w:type="dxa"/>
              <w:right w:w="100" w:type="dxa"/>
            </w:tcMar>
          </w:tcPr>
          <w:p w:rsidR="0050752A" w:rsidRDefault="00C47F26">
            <w:pPr>
              <w:widowControl w:val="0"/>
              <w:jc w:val="left"/>
              <w:rPr>
                <w:b/>
              </w:rPr>
            </w:pPr>
            <w:r>
              <w:rPr>
                <w:b/>
              </w:rPr>
              <w:t xml:space="preserve">11 </w:t>
            </w:r>
            <w:proofErr w:type="spellStart"/>
            <w:r>
              <w:rPr>
                <w:b/>
              </w:rPr>
              <w:t>dBi</w:t>
            </w:r>
            <w:proofErr w:type="spellEnd"/>
          </w:p>
        </w:tc>
      </w:tr>
      <w:tr w:rsidR="0050752A">
        <w:trPr>
          <w:trHeight w:val="400"/>
        </w:trPr>
        <w:tc>
          <w:tcPr>
            <w:tcW w:w="9655" w:type="dxa"/>
            <w:gridSpan w:val="5"/>
            <w:shd w:val="clear" w:color="auto" w:fill="FFFFFF"/>
            <w:tcMar>
              <w:top w:w="100" w:type="dxa"/>
              <w:left w:w="100" w:type="dxa"/>
              <w:bottom w:w="100" w:type="dxa"/>
              <w:right w:w="100" w:type="dxa"/>
            </w:tcMar>
          </w:tcPr>
          <w:p w:rsidR="0050752A" w:rsidRDefault="00C47F26">
            <w:pPr>
              <w:widowControl w:val="0"/>
              <w:shd w:val="clear" w:color="auto" w:fill="FFFFFF"/>
              <w:jc w:val="left"/>
            </w:pPr>
            <w:r>
              <w:t>NOTE 1: This value is equivalent to the antenna diameter for the parabolic reflector modelled in Sec. 6.4.1 of TR 38.811.</w:t>
            </w:r>
          </w:p>
          <w:p w:rsidR="0050752A" w:rsidRDefault="00C47F26">
            <w:pPr>
              <w:widowControl w:val="0"/>
              <w:shd w:val="clear" w:color="auto" w:fill="FFFFFF"/>
              <w:jc w:val="left"/>
            </w:pPr>
            <w:r>
              <w:t>NOTE 2: Antenna models different from the parabolic reflector described in TR 38.811 should be used.</w:t>
            </w:r>
          </w:p>
          <w:p w:rsidR="0050752A" w:rsidRDefault="0050752A">
            <w:pPr>
              <w:widowControl w:val="0"/>
              <w:jc w:val="left"/>
            </w:pPr>
          </w:p>
        </w:tc>
      </w:tr>
    </w:tbl>
    <w:p w:rsidR="0050752A" w:rsidRDefault="00C47F26">
      <w:pPr>
        <w:spacing w:before="240" w:after="240"/>
        <w:jc w:val="center"/>
        <w:rPr>
          <w:b/>
        </w:rPr>
      </w:pPr>
      <w:r>
        <w:rPr>
          <w:b/>
        </w:rPr>
        <w:t>Table 8. Sets of satellite parameters for link budget and system level evaluations</w:t>
      </w:r>
    </w:p>
    <w:p w:rsidR="0050752A" w:rsidRDefault="00C47F26">
      <w:pPr>
        <w:spacing w:before="240" w:after="240"/>
        <w:rPr>
          <w:b/>
          <w:sz w:val="24"/>
          <w:szCs w:val="24"/>
        </w:rPr>
      </w:pPr>
      <w:r>
        <w:rPr>
          <w:sz w:val="24"/>
          <w:szCs w:val="24"/>
        </w:rPr>
        <w:lastRenderedPageBreak/>
        <w:t xml:space="preserve">Among the sets of parameters in Table 8, “Set-4” represents the most challenging scenario, with worst case assumptions for IoT NTN EIRP and G/T figures that would be representative of small </w:t>
      </w:r>
      <w:proofErr w:type="spellStart"/>
      <w:r>
        <w:rPr>
          <w:sz w:val="24"/>
          <w:szCs w:val="24"/>
        </w:rPr>
        <w:t>sats</w:t>
      </w:r>
      <w:proofErr w:type="spellEnd"/>
      <w:r>
        <w:rPr>
          <w:sz w:val="24"/>
          <w:szCs w:val="24"/>
        </w:rPr>
        <w:t xml:space="preserve"> / </w:t>
      </w:r>
      <w:proofErr w:type="spellStart"/>
      <w:r>
        <w:rPr>
          <w:sz w:val="24"/>
          <w:szCs w:val="24"/>
        </w:rPr>
        <w:t>CubeSats</w:t>
      </w:r>
      <w:proofErr w:type="spellEnd"/>
      <w:r>
        <w:rPr>
          <w:sz w:val="24"/>
          <w:szCs w:val="24"/>
        </w:rPr>
        <w:t xml:space="preserve"> scenarios.</w:t>
      </w:r>
    </w:p>
    <w:p w:rsidR="0050752A" w:rsidRDefault="00C47F26">
      <w:pPr>
        <w:rPr>
          <w:b/>
          <w:sz w:val="24"/>
          <w:szCs w:val="24"/>
        </w:rPr>
      </w:pPr>
      <w:r>
        <w:rPr>
          <w:b/>
          <w:sz w:val="24"/>
          <w:szCs w:val="24"/>
        </w:rPr>
        <w:t>Proposal #1</w:t>
      </w:r>
      <w:r w:rsidR="00E24742">
        <w:rPr>
          <w:b/>
          <w:sz w:val="24"/>
          <w:szCs w:val="24"/>
        </w:rPr>
        <w:t xml:space="preserve">: To </w:t>
      </w:r>
      <w:r>
        <w:rPr>
          <w:b/>
          <w:sz w:val="24"/>
          <w:szCs w:val="24"/>
        </w:rPr>
        <w:t xml:space="preserve">include a set of satellite parameters in line with those proposed under “Set 4” as part of the cases to be studied in the IoT NTN SI, as a representative characterization of NB-IoT NTN scenarios with small satellite platforms such as CubeSats. </w:t>
      </w:r>
    </w:p>
    <w:p w:rsidR="0050752A" w:rsidRDefault="0050752A">
      <w:pPr>
        <w:rPr>
          <w:highlight w:val="yellow"/>
        </w:rPr>
      </w:pPr>
    </w:p>
    <w:p w:rsidR="0050752A" w:rsidRDefault="00C47F26">
      <w:pPr>
        <w:pStyle w:val="Heading1"/>
      </w:pPr>
      <w:bookmarkStart w:id="14" w:name="_heading=h.lnxbz9" w:colFirst="0" w:colLast="0"/>
      <w:bookmarkEnd w:id="14"/>
      <w:r>
        <w:t>7. Summary and conclusions</w:t>
      </w:r>
    </w:p>
    <w:p w:rsidR="0050752A" w:rsidRDefault="00C47F26">
      <w:pPr>
        <w:rPr>
          <w:sz w:val="24"/>
          <w:szCs w:val="24"/>
        </w:rPr>
      </w:pPr>
      <w:r>
        <w:rPr>
          <w:sz w:val="24"/>
          <w:szCs w:val="24"/>
        </w:rPr>
        <w:t xml:space="preserve">This document has argued on the relevance for 3GPP to be able to come up with an adaptation/enhancement of the NB-IoT protocol for NTN that is also suitable for deployment in small satellite / CubeSats scenarios, which are likely to be characterized by a restricted link budget due to limitations in the transmit power, antenna gains and number of beams that can be supported in small satellite platforms such as CubeSats. In this respect, the document has described main characteristics of CubeSats platforms and related RF components. </w:t>
      </w:r>
    </w:p>
    <w:p w:rsidR="0050752A" w:rsidRDefault="00C47F26">
      <w:pPr>
        <w:rPr>
          <w:sz w:val="24"/>
          <w:szCs w:val="24"/>
        </w:rPr>
      </w:pPr>
      <w:r>
        <w:rPr>
          <w:sz w:val="24"/>
          <w:szCs w:val="24"/>
        </w:rPr>
        <w:t>On this basis, the following proposal is made:</w:t>
      </w:r>
    </w:p>
    <w:p w:rsidR="0050752A" w:rsidRDefault="00C47F26">
      <w:pPr>
        <w:rPr>
          <w:b/>
          <w:sz w:val="24"/>
          <w:szCs w:val="24"/>
        </w:rPr>
      </w:pPr>
      <w:r>
        <w:rPr>
          <w:b/>
          <w:sz w:val="24"/>
          <w:szCs w:val="24"/>
        </w:rPr>
        <w:t>Proposal #</w:t>
      </w:r>
      <w:r w:rsidR="00E24742">
        <w:rPr>
          <w:b/>
          <w:sz w:val="24"/>
          <w:szCs w:val="24"/>
        </w:rPr>
        <w:t>1: To include</w:t>
      </w:r>
      <w:r>
        <w:rPr>
          <w:b/>
          <w:sz w:val="24"/>
          <w:szCs w:val="24"/>
        </w:rPr>
        <w:t xml:space="preserve"> a set of satellite parameters in line with those proposed under “Set 4” as part of the cases to be studied in the IoT NTN SI, as a representative characterization of NB-IoT NTN scenarios with small satellite platforms such as CubeSats. </w:t>
      </w:r>
    </w:p>
    <w:p w:rsidR="0050752A" w:rsidRDefault="0050752A">
      <w:pPr>
        <w:rPr>
          <w:b/>
          <w:sz w:val="24"/>
          <w:szCs w:val="24"/>
        </w:rPr>
      </w:pPr>
    </w:p>
    <w:p w:rsidR="0050752A" w:rsidRDefault="00C47F26">
      <w:pPr>
        <w:pStyle w:val="Heading1"/>
      </w:pPr>
      <w:r>
        <w:t>8. References</w:t>
      </w:r>
    </w:p>
    <w:p w:rsidR="0050752A" w:rsidRDefault="0050752A"/>
    <w:p w:rsidR="0050752A" w:rsidRDefault="00C47F26">
      <w:pPr>
        <w:numPr>
          <w:ilvl w:val="0"/>
          <w:numId w:val="2"/>
        </w:numPr>
        <w:pBdr>
          <w:top w:val="nil"/>
          <w:left w:val="nil"/>
          <w:bottom w:val="nil"/>
          <w:right w:val="nil"/>
          <w:between w:val="nil"/>
        </w:pBdr>
        <w:spacing w:after="60"/>
        <w:ind w:left="230"/>
      </w:pPr>
      <w:r>
        <w:t>R1-2009098, “Discussion on scenarios applicable to NB-</w:t>
      </w:r>
      <w:proofErr w:type="spellStart"/>
      <w:r>
        <w:t>IoT</w:t>
      </w:r>
      <w:proofErr w:type="spellEnd"/>
      <w:r>
        <w:t xml:space="preserve"> NTN, Gatehouse, </w:t>
      </w:r>
      <w:proofErr w:type="spellStart"/>
      <w:r>
        <w:t>Sateliot</w:t>
      </w:r>
      <w:proofErr w:type="spellEnd"/>
      <w:r>
        <w:t xml:space="preserve">, 3GPP TSG RAN WG1 #103 e-Meeting, October 26th – November 13th, 2020. Available at </w:t>
      </w:r>
      <w:hyperlink r:id="rId10">
        <w:r>
          <w:rPr>
            <w:color w:val="0000FF"/>
            <w:u w:val="single"/>
          </w:rPr>
          <w:t>https://www.3gpp.org/ftp/tsg_ran/WG1_RL1/TSGR1_103-e/Docs/R1-2009098.zip</w:t>
        </w:r>
      </w:hyperlink>
    </w:p>
    <w:p w:rsidR="0050752A" w:rsidRDefault="00C47F26">
      <w:pPr>
        <w:numPr>
          <w:ilvl w:val="0"/>
          <w:numId w:val="2"/>
        </w:numPr>
        <w:pBdr>
          <w:top w:val="nil"/>
          <w:left w:val="nil"/>
          <w:bottom w:val="nil"/>
          <w:right w:val="nil"/>
          <w:between w:val="nil"/>
        </w:pBdr>
        <w:spacing w:after="60"/>
        <w:ind w:left="230"/>
        <w:rPr>
          <w:color w:val="000000"/>
        </w:rPr>
      </w:pPr>
      <w:r>
        <w:t>RP-193235</w:t>
      </w:r>
      <w:r>
        <w:rPr>
          <w:color w:val="000000"/>
        </w:rPr>
        <w:t xml:space="preserve">, “Study on NB-Io/eMTC support for Non-Terrestrial Network”, </w:t>
      </w:r>
      <w:proofErr w:type="spellStart"/>
      <w:r>
        <w:rPr>
          <w:color w:val="000000"/>
        </w:rPr>
        <w:t>MediaTek</w:t>
      </w:r>
      <w:proofErr w:type="spellEnd"/>
      <w:r>
        <w:rPr>
          <w:color w:val="000000"/>
        </w:rPr>
        <w:t xml:space="preserve"> </w:t>
      </w:r>
      <w:proofErr w:type="spellStart"/>
      <w:r>
        <w:rPr>
          <w:color w:val="000000"/>
        </w:rPr>
        <w:t>Inc</w:t>
      </w:r>
      <w:proofErr w:type="spellEnd"/>
      <w:r>
        <w:t xml:space="preserve">, </w:t>
      </w:r>
      <w:r>
        <w:rPr>
          <w:color w:val="000000"/>
        </w:rPr>
        <w:t xml:space="preserve">3GPP TSG RAN Meeting #86 </w:t>
      </w:r>
      <w:r>
        <w:rPr>
          <w:color w:val="000000"/>
        </w:rPr>
        <w:tab/>
      </w:r>
      <w:proofErr w:type="spellStart"/>
      <w:r>
        <w:rPr>
          <w:color w:val="000000"/>
        </w:rPr>
        <w:t>Sitges</w:t>
      </w:r>
      <w:proofErr w:type="spellEnd"/>
      <w:r>
        <w:rPr>
          <w:color w:val="000000"/>
        </w:rPr>
        <w:t>, Spain, December 9-31, 2019</w:t>
      </w:r>
    </w:p>
    <w:p w:rsidR="0050752A" w:rsidRDefault="00C47F26">
      <w:pPr>
        <w:numPr>
          <w:ilvl w:val="0"/>
          <w:numId w:val="2"/>
        </w:numPr>
        <w:pBdr>
          <w:top w:val="nil"/>
          <w:left w:val="nil"/>
          <w:bottom w:val="nil"/>
          <w:right w:val="nil"/>
          <w:between w:val="nil"/>
        </w:pBdr>
        <w:spacing w:after="60"/>
        <w:ind w:left="230"/>
      </w:pPr>
      <w:r>
        <w:t>R1-2008868 “Email summary discussion on Scenarios applicable to NB-</w:t>
      </w:r>
      <w:proofErr w:type="spellStart"/>
      <w:r>
        <w:t>IoT</w:t>
      </w:r>
      <w:proofErr w:type="spellEnd"/>
      <w:r>
        <w:t xml:space="preserve">/eMTC”, 3GPP TSG RAN WG1 #103 e-Meeting, October 26th – November 13th, 2020. Available at </w:t>
      </w:r>
      <w:hyperlink r:id="rId11">
        <w:r>
          <w:rPr>
            <w:color w:val="1155CC"/>
            <w:u w:val="single"/>
          </w:rPr>
          <w:t>https://www.3gpp.org/ftp/tsg_ran/WG1_RL1/TSGR1_103-e/Docs/R1-2008868.zip</w:t>
        </w:r>
      </w:hyperlink>
    </w:p>
    <w:p w:rsidR="0050752A" w:rsidRDefault="00C47F26">
      <w:pPr>
        <w:numPr>
          <w:ilvl w:val="0"/>
          <w:numId w:val="2"/>
        </w:numPr>
        <w:pBdr>
          <w:top w:val="nil"/>
          <w:left w:val="nil"/>
          <w:bottom w:val="nil"/>
          <w:right w:val="nil"/>
          <w:between w:val="nil"/>
        </w:pBdr>
        <w:spacing w:after="60"/>
        <w:ind w:left="230"/>
      </w:pPr>
      <w:r>
        <w:t xml:space="preserve">NASA, “State of the Art of Small Spacecraft Technology”, October 2020. Available at </w:t>
      </w:r>
      <w:hyperlink r:id="rId12">
        <w:r>
          <w:t>https://www.nasa.gov/smallsat-institute/sst-soa-2020</w:t>
        </w:r>
      </w:hyperlink>
      <w:r>
        <w:t xml:space="preserve"> [Last accessed on 12 January 2021]</w:t>
      </w:r>
    </w:p>
    <w:p w:rsidR="0050752A" w:rsidRDefault="00C47F26">
      <w:pPr>
        <w:numPr>
          <w:ilvl w:val="0"/>
          <w:numId w:val="2"/>
        </w:numPr>
        <w:pBdr>
          <w:top w:val="nil"/>
          <w:left w:val="nil"/>
          <w:bottom w:val="nil"/>
          <w:right w:val="nil"/>
          <w:between w:val="nil"/>
        </w:pBdr>
        <w:spacing w:after="60"/>
        <w:ind w:left="230"/>
      </w:pPr>
      <w:r>
        <w:t>Nanosats Database, “What is a CubeSat</w:t>
      </w:r>
      <w:r w:rsidR="001556DA">
        <w:t xml:space="preserve"> </w:t>
      </w:r>
      <w:r>
        <w:t xml:space="preserve">&amp; other picosatellites”, Available at </w:t>
      </w:r>
      <w:hyperlink r:id="rId13">
        <w:r>
          <w:rPr>
            <w:color w:val="1155CC"/>
            <w:u w:val="single"/>
          </w:rPr>
          <w:t>https://www.nanosats.eu/cubesat</w:t>
        </w:r>
      </w:hyperlink>
      <w:r>
        <w:t xml:space="preserve"> [Last accessed on 12 January 2021]</w:t>
      </w:r>
    </w:p>
    <w:p w:rsidR="0050752A" w:rsidRDefault="00C47F26">
      <w:pPr>
        <w:numPr>
          <w:ilvl w:val="0"/>
          <w:numId w:val="2"/>
        </w:numPr>
        <w:pBdr>
          <w:top w:val="nil"/>
          <w:left w:val="nil"/>
          <w:bottom w:val="nil"/>
          <w:right w:val="nil"/>
          <w:between w:val="nil"/>
        </w:pBdr>
        <w:spacing w:after="60"/>
        <w:ind w:left="230"/>
      </w:pPr>
      <w:r>
        <w:t xml:space="preserve">CubeSat program official website. </w:t>
      </w:r>
      <w:hyperlink r:id="rId14">
        <w:r>
          <w:rPr>
            <w:color w:val="1155CC"/>
            <w:u w:val="single"/>
          </w:rPr>
          <w:t>https://www.cubesat.org/</w:t>
        </w:r>
      </w:hyperlink>
      <w:r>
        <w:t xml:space="preserve"> [Last accessed on 12 January 2021]</w:t>
      </w:r>
    </w:p>
    <w:p w:rsidR="0050752A" w:rsidRDefault="00C47F26">
      <w:pPr>
        <w:numPr>
          <w:ilvl w:val="0"/>
          <w:numId w:val="2"/>
        </w:numPr>
        <w:pBdr>
          <w:top w:val="nil"/>
          <w:left w:val="nil"/>
          <w:bottom w:val="nil"/>
          <w:right w:val="nil"/>
          <w:between w:val="nil"/>
        </w:pBdr>
        <w:spacing w:after="60"/>
        <w:ind w:left="230"/>
        <w:jc w:val="left"/>
      </w:pPr>
      <w:r>
        <w:t xml:space="preserve">An Advanced Standard for CubeSats </w:t>
      </w:r>
      <w:hyperlink r:id="rId15">
        <w:r>
          <w:rPr>
            <w:color w:val="1155CC"/>
            <w:u w:val="single"/>
          </w:rPr>
          <w:t>https://digitalcommons.usu.edu/cgi/viewcontent.cgi?article=1111&amp;context=smallsat</w:t>
        </w:r>
      </w:hyperlink>
      <w:r>
        <w:t xml:space="preserve"> [Last accessed on 12 January 2021]</w:t>
      </w:r>
    </w:p>
    <w:p w:rsidR="0050752A" w:rsidRDefault="00C47F26">
      <w:pPr>
        <w:numPr>
          <w:ilvl w:val="0"/>
          <w:numId w:val="2"/>
        </w:numPr>
        <w:pBdr>
          <w:top w:val="nil"/>
          <w:left w:val="nil"/>
          <w:bottom w:val="nil"/>
          <w:right w:val="nil"/>
          <w:between w:val="nil"/>
        </w:pBdr>
        <w:spacing w:after="60"/>
        <w:ind w:left="230"/>
        <w:jc w:val="left"/>
      </w:pPr>
      <w:r>
        <w:t xml:space="preserve">ESA, “Technology CubeSats”. Available online at </w:t>
      </w:r>
      <w:hyperlink r:id="rId16">
        <w:r>
          <w:rPr>
            <w:color w:val="1155CC"/>
            <w:u w:val="single"/>
          </w:rPr>
          <w:t>https://www.esa.int/Enabling_Support/Space_Engineering_Technology/Technology_CubeSats</w:t>
        </w:r>
      </w:hyperlink>
      <w:r>
        <w:t xml:space="preserve"> [Last accessed on 12 January 2021]</w:t>
      </w:r>
    </w:p>
    <w:p w:rsidR="0050752A" w:rsidRDefault="0050752A">
      <w:pPr>
        <w:pBdr>
          <w:top w:val="nil"/>
          <w:left w:val="nil"/>
          <w:bottom w:val="nil"/>
          <w:right w:val="nil"/>
          <w:between w:val="nil"/>
        </w:pBdr>
        <w:spacing w:after="60"/>
      </w:pPr>
    </w:p>
    <w:sectPr w:rsidR="0050752A">
      <w:pgSz w:w="11906" w:h="16838"/>
      <w:pgMar w:top="1418" w:right="1134" w:bottom="1134"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339" w:rsidRDefault="00662339">
      <w:pPr>
        <w:spacing w:before="0" w:after="0"/>
      </w:pPr>
      <w:r>
        <w:separator/>
      </w:r>
    </w:p>
  </w:endnote>
  <w:endnote w:type="continuationSeparator" w:id="0">
    <w:p w:rsidR="00662339" w:rsidRDefault="006623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Robot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339" w:rsidRDefault="00662339">
      <w:pPr>
        <w:spacing w:before="0" w:after="0"/>
      </w:pPr>
      <w:r>
        <w:separator/>
      </w:r>
    </w:p>
  </w:footnote>
  <w:footnote w:type="continuationSeparator" w:id="0">
    <w:p w:rsidR="00662339" w:rsidRDefault="00662339">
      <w:pPr>
        <w:spacing w:before="0" w:after="0"/>
      </w:pPr>
      <w:r>
        <w:continuationSeparator/>
      </w:r>
    </w:p>
  </w:footnote>
  <w:footnote w:id="1">
    <w:p w:rsidR="0050752A" w:rsidRDefault="00C47F26">
      <w:pPr>
        <w:spacing w:before="0" w:after="0"/>
        <w:rPr>
          <w:sz w:val="16"/>
          <w:szCs w:val="16"/>
        </w:rPr>
      </w:pPr>
      <w:r>
        <w:rPr>
          <w:vertAlign w:val="superscript"/>
        </w:rPr>
        <w:footnoteRef/>
      </w:r>
      <w:r>
        <w:t xml:space="preserve"> </w:t>
      </w:r>
      <w:hyperlink r:id="rId1">
        <w:r>
          <w:rPr>
            <w:rFonts w:ascii="Roboto" w:eastAsia="Roboto" w:hAnsi="Roboto" w:cs="Roboto"/>
            <w:color w:val="1A73E8"/>
            <w:sz w:val="15"/>
            <w:szCs w:val="15"/>
            <w:highlight w:val="white"/>
          </w:rPr>
          <w:t>http://www.ieec.cat/en/content/58/news/detail/878/newspace-strategy-of-catalonia-a-new-step-towards-the-democratization-of-space</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F15D9"/>
    <w:multiLevelType w:val="multilevel"/>
    <w:tmpl w:val="CF988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1055465"/>
    <w:multiLevelType w:val="multilevel"/>
    <w:tmpl w:val="F5624AD0"/>
    <w:lvl w:ilvl="0">
      <w:start w:val="1"/>
      <w:numFmt w:val="decimal"/>
      <w:lvlText w:val="[%1]"/>
      <w:lvlJc w:val="left"/>
      <w:pPr>
        <w:ind w:left="603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B111EF7"/>
    <w:multiLevelType w:val="multilevel"/>
    <w:tmpl w:val="52B69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2A"/>
    <w:rsid w:val="001556DA"/>
    <w:rsid w:val="00256430"/>
    <w:rsid w:val="00260E94"/>
    <w:rsid w:val="0050752A"/>
    <w:rsid w:val="005C01BB"/>
    <w:rsid w:val="00662339"/>
    <w:rsid w:val="00730A30"/>
    <w:rsid w:val="00844517"/>
    <w:rsid w:val="00994936"/>
    <w:rsid w:val="00C47F26"/>
    <w:rsid w:val="00E24742"/>
    <w:rsid w:val="00F433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B009F"/>
  <w15:docId w15:val="{3354DA02-7CA8-4C80-A3F0-F1BDE7F6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s-ES" w:bidi="ar-SA"/>
      </w:rPr>
    </w:rPrDefault>
    <w:pPrDefault>
      <w:pPr>
        <w:tabs>
          <w:tab w:val="left" w:pos="0"/>
        </w:tabs>
        <w:spacing w:before="60"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B82C72"/>
    <w:rPr>
      <w:color w:val="0000FF" w:themeColor="hyperlink"/>
      <w:u w:val="single"/>
    </w:rPr>
  </w:style>
  <w:style w:type="character" w:styleId="CommentReference">
    <w:name w:val="annotation reference"/>
    <w:basedOn w:val="DefaultParagraphFont"/>
    <w:uiPriority w:val="99"/>
    <w:semiHidden/>
    <w:unhideWhenUsed/>
    <w:rsid w:val="00DF7089"/>
    <w:rPr>
      <w:sz w:val="16"/>
      <w:szCs w:val="16"/>
    </w:rPr>
  </w:style>
  <w:style w:type="paragraph" w:styleId="CommentText">
    <w:name w:val="annotation text"/>
    <w:basedOn w:val="Normal"/>
    <w:link w:val="CommentTextChar"/>
    <w:uiPriority w:val="99"/>
    <w:semiHidden/>
    <w:unhideWhenUsed/>
    <w:rsid w:val="00DF7089"/>
    <w:rPr>
      <w:sz w:val="20"/>
      <w:szCs w:val="20"/>
    </w:rPr>
  </w:style>
  <w:style w:type="character" w:customStyle="1" w:styleId="CommentTextChar">
    <w:name w:val="Comment Text Char"/>
    <w:basedOn w:val="DefaultParagraphFont"/>
    <w:link w:val="CommentText"/>
    <w:uiPriority w:val="99"/>
    <w:semiHidden/>
    <w:rsid w:val="00DF7089"/>
    <w:rPr>
      <w:sz w:val="20"/>
      <w:szCs w:val="20"/>
    </w:rPr>
  </w:style>
  <w:style w:type="paragraph" w:styleId="CommentSubject">
    <w:name w:val="annotation subject"/>
    <w:basedOn w:val="CommentText"/>
    <w:next w:val="CommentText"/>
    <w:link w:val="CommentSubjectChar"/>
    <w:uiPriority w:val="99"/>
    <w:semiHidden/>
    <w:unhideWhenUsed/>
    <w:rsid w:val="00DF7089"/>
    <w:rPr>
      <w:b/>
      <w:bCs/>
    </w:rPr>
  </w:style>
  <w:style w:type="character" w:customStyle="1" w:styleId="CommentSubjectChar">
    <w:name w:val="Comment Subject Char"/>
    <w:basedOn w:val="CommentTextChar"/>
    <w:link w:val="CommentSubject"/>
    <w:uiPriority w:val="99"/>
    <w:semiHidden/>
    <w:rsid w:val="00DF7089"/>
    <w:rPr>
      <w:b/>
      <w:bCs/>
      <w:sz w:val="20"/>
      <w:szCs w:val="20"/>
    </w:rPr>
  </w:style>
  <w:style w:type="paragraph" w:styleId="BalloonText">
    <w:name w:val="Balloon Text"/>
    <w:basedOn w:val="Normal"/>
    <w:link w:val="BalloonTextChar"/>
    <w:uiPriority w:val="99"/>
    <w:semiHidden/>
    <w:unhideWhenUsed/>
    <w:rsid w:val="00DF70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089"/>
    <w:rPr>
      <w:rFonts w:ascii="Segoe UI" w:hAnsi="Segoe UI" w:cs="Segoe UI"/>
      <w:sz w:val="18"/>
      <w:szCs w:val="18"/>
    </w:rPr>
  </w:style>
  <w:style w:type="table" w:styleId="TableGrid">
    <w:name w:val="Table Grid"/>
    <w:basedOn w:val="TableNormal"/>
    <w:uiPriority w:val="39"/>
    <w:rsid w:val="00A476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e">
    <w:basedOn w:val="TableNormal"/>
    <w:pPr>
      <w:spacing w:before="0" w:after="0"/>
    </w:pPr>
    <w:tblPr>
      <w:tblStyleRowBandSize w:val="1"/>
      <w:tblStyleColBandSize w:val="1"/>
      <w:tblCellMar>
        <w:top w:w="28" w:type="dxa"/>
        <w:left w:w="100" w:type="dxa"/>
        <w:bottom w:w="28" w:type="dxa"/>
        <w:right w:w="100" w:type="dxa"/>
      </w:tblCellMar>
    </w:tblPr>
  </w:style>
  <w:style w:type="table" w:customStyle="1" w:styleId="a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1">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2">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3">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4">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5">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6">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7">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8">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9">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e">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1">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2">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3">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4">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5">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6">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d">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e">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0">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1">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2">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3">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4">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5">
    <w:basedOn w:val="TableNormal2"/>
    <w:pPr>
      <w:spacing w:before="0" w:after="0"/>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anosats.eu/cubesa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asa.gov/smallsat-institute/sst-soa-20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sa.int/Enabling_Support/Space_Engineering_Technology/Technology_CubeSa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3-e/Docs/R1-2008868.zip" TargetMode="External"/><Relationship Id="rId5" Type="http://schemas.openxmlformats.org/officeDocument/2006/relationships/webSettings" Target="webSettings.xml"/><Relationship Id="rId15" Type="http://schemas.openxmlformats.org/officeDocument/2006/relationships/hyperlink" Target="https://digitalcommons.usu.edu/cgi/viewcontent.cgi?article=1111&amp;context=smallsat" TargetMode="External"/><Relationship Id="rId10" Type="http://schemas.openxmlformats.org/officeDocument/2006/relationships/hyperlink" Target="https://www.3gpp.org/ftp/tsg_ran/WG1_RL1/TSGR1_103-e/Docs/R1-2009098.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ubesat.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eec.cat/en/content/58/news/detail/878/newspace-strategy-of-catalonia-a-new-step-towards-the-democratization-of-spa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RmOtNoezVXbxxYEDZ8TwdUSwIw==">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3464</Words>
  <Characters>19746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UPC</Company>
  <LinksUpToDate>false</LinksUpToDate>
  <CharactersWithSpaces>23164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dc:creator>
  <cp:lastModifiedBy>Ramon Ferrús</cp:lastModifiedBy>
  <cp:revision>10</cp:revision>
  <cp:lastPrinted>2021-01-18T16:56:00Z</cp:lastPrinted>
  <dcterms:created xsi:type="dcterms:W3CDTF">2021-01-18T12:09:00Z</dcterms:created>
  <dcterms:modified xsi:type="dcterms:W3CDTF">2021-01-18T17:00:00Z</dcterms:modified>
</cp:coreProperties>
</file>